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2A60" w14:textId="17B18A7C" w:rsidR="00DC2649" w:rsidRPr="00034CAF" w:rsidRDefault="004A1277" w:rsidP="00034CAF">
      <w:pPr>
        <w:shd w:val="clear" w:color="auto" w:fill="FFFFFF"/>
        <w:spacing w:after="150" w:line="240" w:lineRule="auto"/>
        <w:jc w:val="center"/>
        <w:outlineLvl w:val="0"/>
        <w:rPr>
          <w:rFonts w:ascii="Times New Roman" w:eastAsia="Times New Roman" w:hAnsi="Times New Roman" w:cs="Times New Roman"/>
          <w:b/>
          <w:bCs/>
          <w:color w:val="000000" w:themeColor="text1"/>
          <w:kern w:val="36"/>
          <w:sz w:val="36"/>
          <w:szCs w:val="36"/>
          <w14:ligatures w14:val="none"/>
        </w:rPr>
      </w:pPr>
      <w:r w:rsidRPr="00034CAF">
        <w:rPr>
          <w:rFonts w:ascii="Times New Roman" w:eastAsia="Times New Roman" w:hAnsi="Times New Roman" w:cs="Times New Roman"/>
          <w:b/>
          <w:bCs/>
          <w:color w:val="000000" w:themeColor="text1"/>
          <w:kern w:val="36"/>
          <w:sz w:val="36"/>
          <w:szCs w:val="36"/>
          <w14:ligatures w14:val="none"/>
        </w:rPr>
        <w:t>P8106</w:t>
      </w:r>
      <w:r w:rsidR="00ED3998" w:rsidRPr="00034CAF">
        <w:rPr>
          <w:rFonts w:ascii="Times New Roman" w:eastAsia="Times New Roman" w:hAnsi="Times New Roman" w:cs="Times New Roman"/>
          <w:b/>
          <w:bCs/>
          <w:color w:val="000000" w:themeColor="text1"/>
          <w:kern w:val="36"/>
          <w:sz w:val="36"/>
          <w:szCs w:val="36"/>
          <w14:ligatures w14:val="none"/>
        </w:rPr>
        <w:t xml:space="preserve"> Final Projct - </w:t>
      </w:r>
      <w:r w:rsidR="00DC2649" w:rsidRPr="00034CAF">
        <w:rPr>
          <w:rFonts w:ascii="Times New Roman" w:eastAsia="Times New Roman" w:hAnsi="Times New Roman" w:cs="Times New Roman"/>
          <w:b/>
          <w:bCs/>
          <w:color w:val="000000" w:themeColor="text1"/>
          <w:kern w:val="36"/>
          <w:sz w:val="36"/>
          <w:szCs w:val="36"/>
          <w14:ligatures w14:val="none"/>
        </w:rPr>
        <w:t>Predicting COVID-19 Severity</w:t>
      </w:r>
    </w:p>
    <w:p w14:paraId="56AE5D85" w14:textId="2E5E63A4" w:rsidR="00DC2649" w:rsidRPr="003C5CFD" w:rsidRDefault="003C5CFD" w:rsidP="001211C5">
      <w:pPr>
        <w:shd w:val="clear" w:color="auto" w:fill="FFFFFF"/>
        <w:spacing w:after="0" w:line="360" w:lineRule="auto"/>
        <w:outlineLvl w:val="1"/>
        <w:rPr>
          <w:rFonts w:ascii="Times New Roman" w:eastAsia="Times New Roman" w:hAnsi="Times New Roman" w:cs="Times New Roman"/>
          <w:b/>
          <w:bCs/>
          <w:color w:val="000000" w:themeColor="text1"/>
          <w:kern w:val="0"/>
          <w14:ligatures w14:val="none"/>
        </w:rPr>
      </w:pPr>
      <w:r w:rsidRPr="003C5CFD">
        <w:rPr>
          <w:rFonts w:ascii="Times New Roman" w:eastAsia="Times New Roman" w:hAnsi="Times New Roman" w:cs="Times New Roman"/>
          <w:b/>
          <w:bCs/>
          <w:color w:val="000000" w:themeColor="text1"/>
          <w:kern w:val="0"/>
          <w14:ligatures w14:val="none"/>
        </w:rPr>
        <w:t xml:space="preserve">Part </w:t>
      </w:r>
      <w:r w:rsidR="003621FD">
        <w:rPr>
          <w:rFonts w:ascii="Times New Roman" w:eastAsia="Times New Roman" w:hAnsi="Times New Roman" w:cs="Times New Roman"/>
          <w:b/>
          <w:bCs/>
          <w:color w:val="000000" w:themeColor="text1"/>
          <w:kern w:val="0"/>
          <w14:ligatures w14:val="none"/>
        </w:rPr>
        <w:t>I</w:t>
      </w:r>
      <w:r w:rsidRPr="003C5CFD">
        <w:rPr>
          <w:rFonts w:ascii="Times New Roman" w:eastAsia="Times New Roman" w:hAnsi="Times New Roman" w:cs="Times New Roman"/>
          <w:b/>
          <w:bCs/>
          <w:color w:val="000000" w:themeColor="text1"/>
          <w:kern w:val="0"/>
          <w14:ligatures w14:val="none"/>
        </w:rPr>
        <w:t xml:space="preserve">: </w:t>
      </w:r>
      <w:r w:rsidR="00DC2649" w:rsidRPr="003C5CFD">
        <w:rPr>
          <w:rFonts w:ascii="Times New Roman" w:eastAsia="Times New Roman" w:hAnsi="Times New Roman" w:cs="Times New Roman"/>
          <w:b/>
          <w:bCs/>
          <w:color w:val="000000" w:themeColor="text1"/>
          <w:kern w:val="0"/>
          <w14:ligatures w14:val="none"/>
        </w:rPr>
        <w:t>Exploratory Analysis</w:t>
      </w:r>
    </w:p>
    <w:p w14:paraId="7A469D71" w14:textId="233AC832"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A dataset of 1,000 participants was randomly sampled from the full dataset of 10,000 using a fixed random seed (</w:t>
      </w:r>
      <w:r w:rsidR="001211C5">
        <w:rPr>
          <w:rFonts w:ascii="Times New Roman" w:eastAsia="Times New Roman" w:hAnsi="Times New Roman" w:cs="Times New Roman"/>
          <w:color w:val="000000" w:themeColor="text1"/>
          <w:kern w:val="0"/>
          <w14:ligatures w14:val="none"/>
        </w:rPr>
        <w:t>3352</w:t>
      </w:r>
      <w:r w:rsidRPr="00DC2649">
        <w:rPr>
          <w:rFonts w:ascii="Times New Roman" w:eastAsia="Times New Roman" w:hAnsi="Times New Roman" w:cs="Times New Roman"/>
          <w:color w:val="000000" w:themeColor="text1"/>
          <w:kern w:val="0"/>
          <w14:ligatures w14:val="none"/>
        </w:rPr>
        <w:t>) to ensure reproducibility</w:t>
      </w:r>
      <w:r w:rsidR="00DF342B">
        <w:rPr>
          <w:rFonts w:ascii="Times New Roman" w:eastAsia="Times New Roman" w:hAnsi="Times New Roman" w:cs="Times New Roman"/>
          <w:color w:val="000000" w:themeColor="text1"/>
          <w:kern w:val="0"/>
          <w14:ligatures w14:val="none"/>
        </w:rPr>
        <w:t>, which is also the seed used for all randomization throughout this analysis</w:t>
      </w:r>
      <w:r w:rsidRPr="00DC2649">
        <w:rPr>
          <w:rFonts w:ascii="Times New Roman" w:eastAsia="Times New Roman" w:hAnsi="Times New Roman" w:cs="Times New Roman"/>
          <w:color w:val="000000" w:themeColor="text1"/>
          <w:kern w:val="0"/>
          <w14:ligatures w14:val="none"/>
        </w:rPr>
        <w:t xml:space="preserve">. The dataset was then split into a training set (80%, n = 800) and a test set (20%, n = 200) using stratified sampling to preserve the outcome class distribution across both sets. </w:t>
      </w:r>
      <w:r w:rsidR="00211C08">
        <w:rPr>
          <w:rFonts w:ascii="Times New Roman" w:eastAsia="Times New Roman" w:hAnsi="Times New Roman" w:cs="Times New Roman"/>
          <w:color w:val="000000" w:themeColor="text1"/>
          <w:kern w:val="0"/>
          <w14:ligatures w14:val="none"/>
        </w:rPr>
        <w:t>There were n</w:t>
      </w:r>
      <w:r w:rsidRPr="00DC2649">
        <w:rPr>
          <w:rFonts w:ascii="Times New Roman" w:eastAsia="Times New Roman" w:hAnsi="Times New Roman" w:cs="Times New Roman"/>
          <w:color w:val="000000" w:themeColor="text1"/>
          <w:kern w:val="0"/>
          <w14:ligatures w14:val="none"/>
        </w:rPr>
        <w:t>o missing values in the sampled dataset.</w:t>
      </w:r>
    </w:p>
    <w:p w14:paraId="0DB7A955" w14:textId="77777777" w:rsidR="008E6959" w:rsidRPr="008E6959" w:rsidRDefault="008E6959" w:rsidP="009529FE">
      <w:pPr>
        <w:shd w:val="clear" w:color="auto" w:fill="FFFFFF"/>
        <w:spacing w:after="0" w:line="360" w:lineRule="auto"/>
        <w:ind w:firstLine="720"/>
        <w:outlineLvl w:val="1"/>
        <w:rPr>
          <w:rFonts w:ascii="Times New Roman" w:eastAsia="Times New Roman" w:hAnsi="Times New Roman" w:cs="Times New Roman"/>
          <w:color w:val="000000" w:themeColor="text1"/>
          <w:kern w:val="0"/>
          <w14:ligatures w14:val="none"/>
        </w:rPr>
      </w:pPr>
      <w:r w:rsidRPr="008E6959">
        <w:rPr>
          <w:rFonts w:ascii="Times New Roman" w:eastAsia="Times New Roman" w:hAnsi="Times New Roman" w:cs="Times New Roman"/>
          <w:color w:val="000000" w:themeColor="text1"/>
          <w:kern w:val="0"/>
          <w14:ligatures w14:val="none"/>
        </w:rPr>
        <w:t>The outcome variable, COVID-19 severity, was moderately imbalanced, with 32% of training participants (n = 256) classified as severe and 68% (n = 544) as not severe.</w:t>
      </w:r>
    </w:p>
    <w:p w14:paraId="59E7D25B" w14:textId="59AF2D84" w:rsidR="008E6959" w:rsidRPr="008E6959" w:rsidRDefault="008E6959" w:rsidP="009529FE">
      <w:pPr>
        <w:shd w:val="clear" w:color="auto" w:fill="FFFFFF"/>
        <w:spacing w:after="0" w:line="360" w:lineRule="auto"/>
        <w:ind w:firstLine="720"/>
        <w:outlineLvl w:val="1"/>
        <w:rPr>
          <w:rFonts w:ascii="Times New Roman" w:eastAsia="Times New Roman" w:hAnsi="Times New Roman" w:cs="Times New Roman"/>
          <w:color w:val="000000" w:themeColor="text1"/>
          <w:kern w:val="0"/>
          <w14:ligatures w14:val="none"/>
        </w:rPr>
      </w:pPr>
      <w:r w:rsidRPr="008E6959">
        <w:rPr>
          <w:rFonts w:ascii="Times New Roman" w:eastAsia="Times New Roman" w:hAnsi="Times New Roman" w:cs="Times New Roman"/>
          <w:color w:val="000000" w:themeColor="text1"/>
          <w:kern w:val="0"/>
          <w14:ligatures w14:val="none"/>
        </w:rPr>
        <w:t>Table 1 presents descriptive statistics for all variables stratified by severity status in the training set. Among continuous predictors, severe cases were older on average (61.4 vs. 59.6 years), had higher BMI (28.3 vs. 27.5), higher systolic blood pressure (133.0 vs. 128.7 mmHg), and higher LDL cholesterol (112.4 vs. 107.5 mg/dL). Height and weight showed minimal differences between groups. Depression score was nearly identical across groups (6.9 vs. 7.1), suggesting no meaningful association with severity. Among categorical predictors, vaccination status showed the most striking separation: 81% of severe cases were unvaccinated compared to only 21% of non-severe cases, suggesting a strong protective effect of vaccination. Hypertension was more prevalent among severe cases (60% vs. 43%), as was diabetes (21% vs. 13%). Gender, race, and smoking status showed little difference in severity proportions across categories.</w:t>
      </w:r>
    </w:p>
    <w:p w14:paraId="0A40A3FC" w14:textId="34EA89FB" w:rsidR="008E6959" w:rsidRDefault="008E6959" w:rsidP="00055B82">
      <w:pPr>
        <w:shd w:val="clear" w:color="auto" w:fill="FFFFFF"/>
        <w:spacing w:after="0" w:line="360" w:lineRule="auto"/>
        <w:ind w:firstLine="720"/>
        <w:outlineLvl w:val="1"/>
        <w:rPr>
          <w:rFonts w:ascii="Times New Roman" w:eastAsia="Times New Roman" w:hAnsi="Times New Roman" w:cs="Times New Roman"/>
          <w:color w:val="000000" w:themeColor="text1"/>
          <w:kern w:val="0"/>
          <w14:ligatures w14:val="none"/>
        </w:rPr>
      </w:pPr>
      <w:r w:rsidRPr="008E6959">
        <w:rPr>
          <w:rFonts w:ascii="Times New Roman" w:eastAsia="Times New Roman" w:hAnsi="Times New Roman" w:cs="Times New Roman"/>
          <w:color w:val="000000" w:themeColor="text1"/>
          <w:kern w:val="0"/>
          <w14:ligatures w14:val="none"/>
        </w:rPr>
        <w:t xml:space="preserve">Figure 1 displays boxplots of continuous predictors stratified by severity group. Visible separation between severe and not-severe groups is apparent for SBP, age, and BMI, while depression, weight, and height show minimal visual separation, consistent with the patterns observed in Table 1. Figure 2 displays proportional bar charts for all categorical predictors. The vaccine panel shows the </w:t>
      </w:r>
      <w:r w:rsidR="000E0E27">
        <w:rPr>
          <w:rFonts w:ascii="Times New Roman" w:eastAsia="Times New Roman" w:hAnsi="Times New Roman" w:cs="Times New Roman" w:hint="eastAsia"/>
          <w:color w:val="000000" w:themeColor="text1"/>
          <w:kern w:val="0"/>
          <w14:ligatures w14:val="none"/>
        </w:rPr>
        <w:t>highest</w:t>
      </w:r>
      <w:r w:rsidR="000E0E27">
        <w:rPr>
          <w:rFonts w:ascii="Times New Roman" w:eastAsia="Times New Roman" w:hAnsi="Times New Roman" w:cs="Times New Roman"/>
          <w:color w:val="000000" w:themeColor="text1"/>
          <w:kern w:val="0"/>
          <w:lang w:val="en-US"/>
          <w14:ligatures w14:val="none"/>
        </w:rPr>
        <w:t xml:space="preserve"> </w:t>
      </w:r>
      <w:r w:rsidRPr="008E6959">
        <w:rPr>
          <w:rFonts w:ascii="Times New Roman" w:eastAsia="Times New Roman" w:hAnsi="Times New Roman" w:cs="Times New Roman"/>
          <w:color w:val="000000" w:themeColor="text1"/>
          <w:kern w:val="0"/>
          <w14:ligatures w14:val="none"/>
        </w:rPr>
        <w:t>contrast across all categorical variables, with unvaccinated individuals comprising the large majority of severe cases. Hypertension and diabetes panels also show visible differences in severity proportions, while gender, race, and smoking status appear largely uniform across their respective category levels.</w:t>
      </w:r>
    </w:p>
    <w:p w14:paraId="196F0BFE" w14:textId="7E770A80" w:rsidR="00DC2649" w:rsidRPr="008659F3" w:rsidRDefault="003621FD" w:rsidP="008E6959">
      <w:pPr>
        <w:shd w:val="clear" w:color="auto" w:fill="FFFFFF"/>
        <w:spacing w:after="0" w:line="360" w:lineRule="auto"/>
        <w:outlineLvl w:val="1"/>
        <w:rPr>
          <w:rFonts w:ascii="Times New Roman" w:eastAsia="Times New Roman" w:hAnsi="Times New Roman" w:cs="Times New Roman"/>
          <w:b/>
          <w:bCs/>
          <w:color w:val="000000" w:themeColor="text1"/>
          <w:kern w:val="0"/>
          <w:u w:val="single"/>
          <w14:ligatures w14:val="none"/>
        </w:rPr>
      </w:pPr>
      <w:r w:rsidRPr="003C5CFD">
        <w:rPr>
          <w:rFonts w:ascii="Times New Roman" w:eastAsia="Times New Roman" w:hAnsi="Times New Roman" w:cs="Times New Roman"/>
          <w:b/>
          <w:bCs/>
          <w:color w:val="000000" w:themeColor="text1"/>
          <w:kern w:val="0"/>
          <w14:ligatures w14:val="none"/>
        </w:rPr>
        <w:t xml:space="preserve">Part </w:t>
      </w:r>
      <w:r>
        <w:rPr>
          <w:rFonts w:ascii="Times New Roman" w:eastAsia="Times New Roman" w:hAnsi="Times New Roman" w:cs="Times New Roman"/>
          <w:b/>
          <w:bCs/>
          <w:color w:val="000000" w:themeColor="text1"/>
          <w:kern w:val="0"/>
          <w14:ligatures w14:val="none"/>
        </w:rPr>
        <w:t>I</w:t>
      </w:r>
      <w:r>
        <w:rPr>
          <w:rFonts w:ascii="Times New Roman" w:eastAsia="Times New Roman" w:hAnsi="Times New Roman" w:cs="Times New Roman"/>
          <w:b/>
          <w:bCs/>
          <w:color w:val="000000" w:themeColor="text1"/>
          <w:kern w:val="0"/>
          <w14:ligatures w14:val="none"/>
        </w:rPr>
        <w:t>I</w:t>
      </w:r>
      <w:r w:rsidRPr="003C5CFD">
        <w:rPr>
          <w:rFonts w:ascii="Times New Roman" w:eastAsia="Times New Roman" w:hAnsi="Times New Roman" w:cs="Times New Roman"/>
          <w:b/>
          <w:bCs/>
          <w:color w:val="000000" w:themeColor="text1"/>
          <w:kern w:val="0"/>
          <w14:ligatures w14:val="none"/>
        </w:rPr>
        <w:t xml:space="preserve">: </w:t>
      </w:r>
      <w:r w:rsidR="00DC2649" w:rsidRPr="00145E10">
        <w:rPr>
          <w:rFonts w:ascii="Times New Roman" w:eastAsia="Times New Roman" w:hAnsi="Times New Roman" w:cs="Times New Roman"/>
          <w:b/>
          <w:bCs/>
          <w:color w:val="000000" w:themeColor="text1"/>
          <w:kern w:val="0"/>
          <w14:ligatures w14:val="none"/>
        </w:rPr>
        <w:t>Model Training</w:t>
      </w:r>
    </w:p>
    <w:p w14:paraId="542BCAEA" w14:textId="14EA1C18"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 xml:space="preserve">Four classification models were trained on the training set to predict COVID-19 severity: logistic regression (GLM), penalized logistic regression with elastic net regularization (GLMN), gradient boosting with AdaBoost (GBM), and support vector </w:t>
      </w:r>
      <w:r w:rsidRPr="00DC2649">
        <w:rPr>
          <w:rFonts w:ascii="Times New Roman" w:eastAsia="Times New Roman" w:hAnsi="Times New Roman" w:cs="Times New Roman"/>
          <w:color w:val="000000" w:themeColor="text1"/>
          <w:kern w:val="0"/>
          <w14:ligatures w14:val="none"/>
        </w:rPr>
        <w:lastRenderedPageBreak/>
        <w:t xml:space="preserve">machine with a radial kernel (SVM). </w:t>
      </w:r>
      <w:r w:rsidR="00E004D3">
        <w:rPr>
          <w:rFonts w:ascii="Times New Roman" w:eastAsia="Times New Roman" w:hAnsi="Times New Roman" w:cs="Times New Roman"/>
          <w:color w:val="000000" w:themeColor="text1"/>
          <w:kern w:val="0"/>
          <w14:ligatures w14:val="none"/>
        </w:rPr>
        <w:t>GLM</w:t>
      </w:r>
      <w:r w:rsidR="0018080E" w:rsidRPr="0018080E">
        <w:rPr>
          <w:rFonts w:ascii="Times New Roman" w:eastAsia="Times New Roman" w:hAnsi="Times New Roman" w:cs="Times New Roman"/>
          <w:color w:val="000000" w:themeColor="text1"/>
          <w:kern w:val="0"/>
          <w14:ligatures w14:val="none"/>
        </w:rPr>
        <w:t xml:space="preserve"> and </w:t>
      </w:r>
      <w:r w:rsidR="00E004D3" w:rsidRPr="00DC2649">
        <w:rPr>
          <w:rFonts w:ascii="Times New Roman" w:eastAsia="Times New Roman" w:hAnsi="Times New Roman" w:cs="Times New Roman"/>
          <w:color w:val="000000" w:themeColor="text1"/>
          <w:kern w:val="0"/>
          <w14:ligatures w14:val="none"/>
        </w:rPr>
        <w:t>GLMN</w:t>
      </w:r>
      <w:r w:rsidR="00E004D3" w:rsidRPr="0018080E">
        <w:rPr>
          <w:rFonts w:ascii="Times New Roman" w:eastAsia="Times New Roman" w:hAnsi="Times New Roman" w:cs="Times New Roman"/>
          <w:color w:val="000000" w:themeColor="text1"/>
          <w:kern w:val="0"/>
          <w14:ligatures w14:val="none"/>
        </w:rPr>
        <w:t xml:space="preserve"> </w:t>
      </w:r>
      <w:r w:rsidR="0018080E" w:rsidRPr="0018080E">
        <w:rPr>
          <w:rFonts w:ascii="Times New Roman" w:eastAsia="Times New Roman" w:hAnsi="Times New Roman" w:cs="Times New Roman"/>
          <w:color w:val="000000" w:themeColor="text1"/>
          <w:kern w:val="0"/>
          <w14:ligatures w14:val="none"/>
        </w:rPr>
        <w:t>serve as the simpler comparator models.</w:t>
      </w:r>
      <w:r w:rsidRPr="00DC2649">
        <w:rPr>
          <w:rFonts w:ascii="Times New Roman" w:eastAsia="Times New Roman" w:hAnsi="Times New Roman" w:cs="Times New Roman"/>
          <w:color w:val="000000" w:themeColor="text1"/>
          <w:kern w:val="0"/>
          <w14:ligatures w14:val="none"/>
        </w:rPr>
        <w:t xml:space="preserve"> Boosting and SVM represent the advanced methods of primary interest to the researchers.</w:t>
      </w:r>
      <w:r w:rsidR="008D146D">
        <w:rPr>
          <w:rFonts w:ascii="Times New Roman" w:eastAsia="Times New Roman" w:hAnsi="Times New Roman" w:cs="Times New Roman"/>
          <w:color w:val="000000" w:themeColor="text1"/>
          <w:kern w:val="0"/>
          <w14:ligatures w14:val="none"/>
        </w:rPr>
        <w:t xml:space="preserve"> </w:t>
      </w:r>
      <w:r w:rsidR="008D146D" w:rsidRPr="008D146D">
        <w:rPr>
          <w:rFonts w:ascii="Times New Roman" w:eastAsia="Times New Roman" w:hAnsi="Times New Roman" w:cs="Times New Roman"/>
          <w:color w:val="000000" w:themeColor="text1"/>
          <w:kern w:val="0"/>
          <w14:ligatures w14:val="none"/>
        </w:rPr>
        <w:t>By fitting all four models under identical cross-validation conditions, the analysis directly addresses whether the added complexity of boosting and SVM translates into meaningful gains in predictive performance over the simpler alternatives.</w:t>
      </w:r>
    </w:p>
    <w:p w14:paraId="2F146354" w14:textId="77777777" w:rsid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All models were trained using 10-fold cross-validation with area under the ROC curve (AUC) as the performance metric, implemented through the caret package. AUC was selected over accuracy because the outcome is moderately imbalanced (32% severe); accuracy would be misleading as a naive classifier predicting “not severe” for all observations would achieve 68% accuracy. AUC evaluates model discrimination across all possible classification thresholds and is not affected by class imbalance.</w:t>
      </w:r>
    </w:p>
    <w:p w14:paraId="4D2E9120" w14:textId="09819BA9" w:rsidR="000E3856" w:rsidRDefault="000E3856" w:rsidP="000E3856">
      <w:pPr>
        <w:shd w:val="clear" w:color="auto" w:fill="FFFFFF"/>
        <w:spacing w:after="0" w:line="360" w:lineRule="auto"/>
        <w:rPr>
          <w:rFonts w:ascii="Times New Roman" w:eastAsia="Times New Roman" w:hAnsi="Times New Roman" w:cs="Times New Roman"/>
          <w:i/>
          <w:iCs/>
          <w:color w:val="000000" w:themeColor="text1"/>
          <w:kern w:val="0"/>
          <w:u w:val="single"/>
          <w14:ligatures w14:val="none"/>
        </w:rPr>
      </w:pPr>
      <w:r w:rsidRPr="003C5CFD">
        <w:rPr>
          <w:rFonts w:ascii="Times New Roman" w:eastAsia="Times New Roman" w:hAnsi="Times New Roman" w:cs="Times New Roman"/>
          <w:i/>
          <w:iCs/>
          <w:color w:val="000000" w:themeColor="text1"/>
          <w:kern w:val="0"/>
          <w:u w:val="single"/>
          <w14:ligatures w14:val="none"/>
        </w:rPr>
        <w:t>L</w:t>
      </w:r>
      <w:r w:rsidRPr="003C5CFD">
        <w:rPr>
          <w:rFonts w:ascii="Times New Roman" w:eastAsia="Times New Roman" w:hAnsi="Times New Roman" w:cs="Times New Roman"/>
          <w:i/>
          <w:iCs/>
          <w:color w:val="000000" w:themeColor="text1"/>
          <w:kern w:val="0"/>
          <w:u w:val="single"/>
          <w14:ligatures w14:val="none"/>
        </w:rPr>
        <w:t xml:space="preserve">ogistic </w:t>
      </w:r>
      <w:r w:rsidRPr="003C5CFD">
        <w:rPr>
          <w:rFonts w:ascii="Times New Roman" w:eastAsia="Times New Roman" w:hAnsi="Times New Roman" w:cs="Times New Roman"/>
          <w:i/>
          <w:iCs/>
          <w:color w:val="000000" w:themeColor="text1"/>
          <w:kern w:val="0"/>
          <w:u w:val="single"/>
          <w14:ligatures w14:val="none"/>
        </w:rPr>
        <w:t>R</w:t>
      </w:r>
      <w:r w:rsidRPr="003C5CFD">
        <w:rPr>
          <w:rFonts w:ascii="Times New Roman" w:eastAsia="Times New Roman" w:hAnsi="Times New Roman" w:cs="Times New Roman"/>
          <w:i/>
          <w:iCs/>
          <w:color w:val="000000" w:themeColor="text1"/>
          <w:kern w:val="0"/>
          <w:u w:val="single"/>
          <w14:ligatures w14:val="none"/>
        </w:rPr>
        <w:t>egression (GLM)</w:t>
      </w:r>
    </w:p>
    <w:p w14:paraId="76AC8BAD" w14:textId="7B6B2494" w:rsidR="00B43D48" w:rsidRPr="00B43D48" w:rsidRDefault="00B43D48" w:rsidP="00DE2EB8">
      <w:pPr>
        <w:shd w:val="clear" w:color="auto" w:fill="FFFFFF"/>
        <w:spacing w:after="0" w:line="360" w:lineRule="auto"/>
        <w:ind w:firstLine="720"/>
        <w:rPr>
          <w:rFonts w:ascii="Times New Roman" w:eastAsia="Times New Roman" w:hAnsi="Times New Roman" w:cs="Times New Roman" w:hint="eastAsia"/>
          <w:color w:val="000000" w:themeColor="text1"/>
          <w:kern w:val="0"/>
          <w14:ligatures w14:val="none"/>
        </w:rPr>
      </w:pPr>
      <w:r w:rsidRPr="00B43D48">
        <w:rPr>
          <w:rFonts w:ascii="Times New Roman" w:eastAsia="Times New Roman" w:hAnsi="Times New Roman" w:cs="Times New Roman"/>
          <w:color w:val="000000" w:themeColor="text1"/>
          <w:kern w:val="0"/>
          <w14:ligatures w14:val="none"/>
        </w:rPr>
        <w:t>The logistic regression model requires no tuning parameters and was fitted directly within the 10-fold cross-validation framework using method = "glm" in caret. Despite having no hyperparameters to optimize, fitting GLM through the same caret train() function and trainControl object as the other three models ensures that its cross-validated AUC is evaluated on identical folds, making the subsequent resamples() comparison valid and apples-to-apples across all four models. The model estimates the log-odds of severe COVID-19 as a linear combination of all 13 predictors via logistic transformation.</w:t>
      </w:r>
    </w:p>
    <w:p w14:paraId="1492643A" w14:textId="5D55C025" w:rsidR="00145E10" w:rsidRPr="003C5CFD" w:rsidRDefault="00145E10" w:rsidP="000E3856">
      <w:pPr>
        <w:shd w:val="clear" w:color="auto" w:fill="FFFFFF"/>
        <w:spacing w:after="0" w:line="360" w:lineRule="auto"/>
        <w:rPr>
          <w:rFonts w:ascii="Times New Roman" w:eastAsia="Times New Roman" w:hAnsi="Times New Roman" w:cs="Times New Roman"/>
          <w:i/>
          <w:iCs/>
          <w:color w:val="000000" w:themeColor="text1"/>
          <w:kern w:val="0"/>
          <w:u w:val="single"/>
          <w14:ligatures w14:val="none"/>
        </w:rPr>
      </w:pPr>
      <w:r>
        <w:rPr>
          <w:rFonts w:ascii="Times New Roman" w:eastAsia="Times New Roman" w:hAnsi="Times New Roman" w:cs="Times New Roman"/>
          <w:i/>
          <w:iCs/>
          <w:color w:val="000000" w:themeColor="text1"/>
          <w:kern w:val="0"/>
          <w:u w:val="single"/>
          <w14:ligatures w14:val="none"/>
        </w:rPr>
        <w:t>P</w:t>
      </w:r>
      <w:r w:rsidRPr="00145E10">
        <w:rPr>
          <w:rFonts w:ascii="Times New Roman" w:eastAsia="Times New Roman" w:hAnsi="Times New Roman" w:cs="Times New Roman"/>
          <w:i/>
          <w:iCs/>
          <w:color w:val="000000" w:themeColor="text1"/>
          <w:kern w:val="0"/>
          <w:u w:val="single"/>
          <w14:ligatures w14:val="none"/>
        </w:rPr>
        <w:t xml:space="preserve">enalized </w:t>
      </w:r>
      <w:r>
        <w:rPr>
          <w:rFonts w:ascii="Times New Roman" w:eastAsia="Times New Roman" w:hAnsi="Times New Roman" w:cs="Times New Roman"/>
          <w:i/>
          <w:iCs/>
          <w:color w:val="000000" w:themeColor="text1"/>
          <w:kern w:val="0"/>
          <w:u w:val="single"/>
          <w14:ligatures w14:val="none"/>
        </w:rPr>
        <w:t>L</w:t>
      </w:r>
      <w:r w:rsidRPr="00145E10">
        <w:rPr>
          <w:rFonts w:ascii="Times New Roman" w:eastAsia="Times New Roman" w:hAnsi="Times New Roman" w:cs="Times New Roman"/>
          <w:i/>
          <w:iCs/>
          <w:color w:val="000000" w:themeColor="text1"/>
          <w:kern w:val="0"/>
          <w:u w:val="single"/>
          <w14:ligatures w14:val="none"/>
        </w:rPr>
        <w:t xml:space="preserve">ogistic </w:t>
      </w:r>
      <w:r>
        <w:rPr>
          <w:rFonts w:ascii="Times New Roman" w:eastAsia="Times New Roman" w:hAnsi="Times New Roman" w:cs="Times New Roman"/>
          <w:i/>
          <w:iCs/>
          <w:color w:val="000000" w:themeColor="text1"/>
          <w:kern w:val="0"/>
          <w:u w:val="single"/>
          <w14:ligatures w14:val="none"/>
        </w:rPr>
        <w:t>R</w:t>
      </w:r>
      <w:r w:rsidRPr="00145E10">
        <w:rPr>
          <w:rFonts w:ascii="Times New Roman" w:eastAsia="Times New Roman" w:hAnsi="Times New Roman" w:cs="Times New Roman"/>
          <w:i/>
          <w:iCs/>
          <w:color w:val="000000" w:themeColor="text1"/>
          <w:kern w:val="0"/>
          <w:u w:val="single"/>
          <w14:ligatures w14:val="none"/>
        </w:rPr>
        <w:t xml:space="preserve">egression with </w:t>
      </w:r>
      <w:r>
        <w:rPr>
          <w:rFonts w:ascii="Times New Roman" w:eastAsia="Times New Roman" w:hAnsi="Times New Roman" w:cs="Times New Roman"/>
          <w:i/>
          <w:iCs/>
          <w:color w:val="000000" w:themeColor="text1"/>
          <w:kern w:val="0"/>
          <w:u w:val="single"/>
          <w14:ligatures w14:val="none"/>
        </w:rPr>
        <w:t>E</w:t>
      </w:r>
      <w:r w:rsidRPr="00145E10">
        <w:rPr>
          <w:rFonts w:ascii="Times New Roman" w:eastAsia="Times New Roman" w:hAnsi="Times New Roman" w:cs="Times New Roman"/>
          <w:i/>
          <w:iCs/>
          <w:color w:val="000000" w:themeColor="text1"/>
          <w:kern w:val="0"/>
          <w:u w:val="single"/>
          <w14:ligatures w14:val="none"/>
        </w:rPr>
        <w:t xml:space="preserve">lastic </w:t>
      </w:r>
      <w:r>
        <w:rPr>
          <w:rFonts w:ascii="Times New Roman" w:eastAsia="Times New Roman" w:hAnsi="Times New Roman" w:cs="Times New Roman"/>
          <w:i/>
          <w:iCs/>
          <w:color w:val="000000" w:themeColor="text1"/>
          <w:kern w:val="0"/>
          <w:u w:val="single"/>
          <w14:ligatures w14:val="none"/>
        </w:rPr>
        <w:t>N</w:t>
      </w:r>
      <w:r w:rsidRPr="00145E10">
        <w:rPr>
          <w:rFonts w:ascii="Times New Roman" w:eastAsia="Times New Roman" w:hAnsi="Times New Roman" w:cs="Times New Roman"/>
          <w:i/>
          <w:iCs/>
          <w:color w:val="000000" w:themeColor="text1"/>
          <w:kern w:val="0"/>
          <w:u w:val="single"/>
          <w14:ligatures w14:val="none"/>
        </w:rPr>
        <w:t xml:space="preserve">et </w:t>
      </w:r>
      <w:r>
        <w:rPr>
          <w:rFonts w:ascii="Times New Roman" w:eastAsia="Times New Roman" w:hAnsi="Times New Roman" w:cs="Times New Roman"/>
          <w:i/>
          <w:iCs/>
          <w:color w:val="000000" w:themeColor="text1"/>
          <w:kern w:val="0"/>
          <w:u w:val="single"/>
          <w14:ligatures w14:val="none"/>
        </w:rPr>
        <w:t>R</w:t>
      </w:r>
      <w:r w:rsidRPr="00145E10">
        <w:rPr>
          <w:rFonts w:ascii="Times New Roman" w:eastAsia="Times New Roman" w:hAnsi="Times New Roman" w:cs="Times New Roman"/>
          <w:i/>
          <w:iCs/>
          <w:color w:val="000000" w:themeColor="text1"/>
          <w:kern w:val="0"/>
          <w:u w:val="single"/>
          <w14:ligatures w14:val="none"/>
        </w:rPr>
        <w:t>egularization (GLMN)</w:t>
      </w:r>
    </w:p>
    <w:p w14:paraId="3C334BB5" w14:textId="7492F6F9" w:rsid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 xml:space="preserve">The elastic net model was tuned over a grid of mixing parameters (alpha: 0, 0.2, 0.4, 0.6, 0.8, 1.0) and regularization strengths (lambda: exp(seq(-12, -1, length = 20))). The optimal parameters were alpha = 0.4 and lambda = 0.000198, corresponding to an elastic net blend with light regularization. The tuning plot (Figure 3) </w:t>
      </w:r>
      <w:r w:rsidR="008D67BA" w:rsidRPr="008D67BA">
        <w:rPr>
          <w:rFonts w:ascii="Times New Roman" w:eastAsia="Times New Roman" w:hAnsi="Times New Roman" w:cs="Times New Roman"/>
          <w:color w:val="000000" w:themeColor="text1"/>
          <w:kern w:val="0"/>
          <w14:ligatures w14:val="none"/>
        </w:rPr>
        <w:t>demonstrates that the optimal parameter combination is interior to the grid.</w:t>
      </w:r>
    </w:p>
    <w:p w14:paraId="423E99B8" w14:textId="29C0ACE3" w:rsidR="00145E10" w:rsidRPr="00B43D48" w:rsidRDefault="00B43D48" w:rsidP="00145E10">
      <w:pPr>
        <w:shd w:val="clear" w:color="auto" w:fill="FFFFFF"/>
        <w:spacing w:after="0" w:line="360" w:lineRule="auto"/>
        <w:rPr>
          <w:rFonts w:ascii="Times New Roman" w:eastAsia="Times New Roman" w:hAnsi="Times New Roman" w:cs="Times New Roman"/>
          <w:i/>
          <w:iCs/>
          <w:color w:val="000000" w:themeColor="text1"/>
          <w:kern w:val="0"/>
          <w:u w:val="single"/>
          <w14:ligatures w14:val="none"/>
        </w:rPr>
      </w:pPr>
      <w:r w:rsidRPr="00B43D48">
        <w:rPr>
          <w:rFonts w:ascii="Times New Roman" w:eastAsia="Times New Roman" w:hAnsi="Times New Roman" w:cs="Times New Roman"/>
          <w:i/>
          <w:iCs/>
          <w:color w:val="000000" w:themeColor="text1"/>
          <w:kern w:val="0"/>
          <w:u w:val="single"/>
          <w14:ligatures w14:val="none"/>
        </w:rPr>
        <w:t>G</w:t>
      </w:r>
      <w:r w:rsidRPr="00B43D48">
        <w:rPr>
          <w:rFonts w:ascii="Times New Roman" w:eastAsia="Times New Roman" w:hAnsi="Times New Roman" w:cs="Times New Roman"/>
          <w:i/>
          <w:iCs/>
          <w:color w:val="000000" w:themeColor="text1"/>
          <w:kern w:val="0"/>
          <w:u w:val="single"/>
          <w14:ligatures w14:val="none"/>
        </w:rPr>
        <w:t xml:space="preserve">radient </w:t>
      </w:r>
      <w:r w:rsidRPr="00B43D48">
        <w:rPr>
          <w:rFonts w:ascii="Times New Roman" w:eastAsia="Times New Roman" w:hAnsi="Times New Roman" w:cs="Times New Roman"/>
          <w:i/>
          <w:iCs/>
          <w:color w:val="000000" w:themeColor="text1"/>
          <w:kern w:val="0"/>
          <w:u w:val="single"/>
          <w14:ligatures w14:val="none"/>
        </w:rPr>
        <w:t>B</w:t>
      </w:r>
      <w:r w:rsidRPr="00B43D48">
        <w:rPr>
          <w:rFonts w:ascii="Times New Roman" w:eastAsia="Times New Roman" w:hAnsi="Times New Roman" w:cs="Times New Roman"/>
          <w:i/>
          <w:iCs/>
          <w:color w:val="000000" w:themeColor="text1"/>
          <w:kern w:val="0"/>
          <w:u w:val="single"/>
          <w14:ligatures w14:val="none"/>
        </w:rPr>
        <w:t>oosting with AdaBoost (GBM)</w:t>
      </w:r>
    </w:p>
    <w:p w14:paraId="16EC2F74" w14:textId="5A2CEC44" w:rsid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The AdaBoost model was tuned over a grid of boosting iterations (n.trees: 100, 200, 500, 1000, 2000, 3000, 5000), tree depth (interaction.depth: 1, 2, 3), and learning rate (shrinkage: 0.001, 0.003, 0.005), with minimum node size fixed at 10 following the lecture code convention. The optimal configuration was n.trees = 1000, interaction.depth = 2, and shrinkage = 0.005. The tuning plot (Figure 4) shows the full pattern across tree counts for each shrinkage and depth combination, confirming the optimal point is interior to the grid.</w:t>
      </w:r>
    </w:p>
    <w:p w14:paraId="65F72690" w14:textId="50015DC9" w:rsidR="00B43D48" w:rsidRPr="00E47CB9" w:rsidRDefault="00E47CB9" w:rsidP="00E47CB9">
      <w:pPr>
        <w:shd w:val="clear" w:color="auto" w:fill="FFFFFF"/>
        <w:spacing w:after="0" w:line="360" w:lineRule="auto"/>
        <w:rPr>
          <w:rFonts w:ascii="Times New Roman" w:eastAsia="Times New Roman" w:hAnsi="Times New Roman" w:cs="Times New Roman"/>
          <w:i/>
          <w:iCs/>
          <w:color w:val="000000" w:themeColor="text1"/>
          <w:kern w:val="0"/>
          <w:u w:val="single"/>
          <w14:ligatures w14:val="none"/>
        </w:rPr>
      </w:pPr>
      <w:r>
        <w:rPr>
          <w:rFonts w:ascii="Times New Roman" w:eastAsia="Times New Roman" w:hAnsi="Times New Roman" w:cs="Times New Roman"/>
          <w:i/>
          <w:iCs/>
          <w:color w:val="000000" w:themeColor="text1"/>
          <w:kern w:val="0"/>
          <w:u w:val="single"/>
          <w14:ligatures w14:val="none"/>
        </w:rPr>
        <w:lastRenderedPageBreak/>
        <w:t>S</w:t>
      </w:r>
      <w:r w:rsidRPr="00E47CB9">
        <w:rPr>
          <w:rFonts w:ascii="Times New Roman" w:eastAsia="Times New Roman" w:hAnsi="Times New Roman" w:cs="Times New Roman"/>
          <w:i/>
          <w:iCs/>
          <w:color w:val="000000" w:themeColor="text1"/>
          <w:kern w:val="0"/>
          <w:u w:val="single"/>
          <w14:ligatures w14:val="none"/>
        </w:rPr>
        <w:t xml:space="preserve">upport </w:t>
      </w:r>
      <w:r>
        <w:rPr>
          <w:rFonts w:ascii="Times New Roman" w:eastAsia="Times New Roman" w:hAnsi="Times New Roman" w:cs="Times New Roman"/>
          <w:i/>
          <w:iCs/>
          <w:color w:val="000000" w:themeColor="text1"/>
          <w:kern w:val="0"/>
          <w:u w:val="single"/>
          <w14:ligatures w14:val="none"/>
        </w:rPr>
        <w:t>V</w:t>
      </w:r>
      <w:r w:rsidRPr="00E47CB9">
        <w:rPr>
          <w:rFonts w:ascii="Times New Roman" w:eastAsia="Times New Roman" w:hAnsi="Times New Roman" w:cs="Times New Roman"/>
          <w:i/>
          <w:iCs/>
          <w:color w:val="000000" w:themeColor="text1"/>
          <w:kern w:val="0"/>
          <w:u w:val="single"/>
          <w14:ligatures w14:val="none"/>
        </w:rPr>
        <w:t xml:space="preserve">ector </w:t>
      </w:r>
      <w:r>
        <w:rPr>
          <w:rFonts w:ascii="Times New Roman" w:eastAsia="Times New Roman" w:hAnsi="Times New Roman" w:cs="Times New Roman"/>
          <w:i/>
          <w:iCs/>
          <w:color w:val="000000" w:themeColor="text1"/>
          <w:kern w:val="0"/>
          <w:u w:val="single"/>
          <w14:ligatures w14:val="none"/>
        </w:rPr>
        <w:t>M</w:t>
      </w:r>
      <w:r w:rsidRPr="00E47CB9">
        <w:rPr>
          <w:rFonts w:ascii="Times New Roman" w:eastAsia="Times New Roman" w:hAnsi="Times New Roman" w:cs="Times New Roman"/>
          <w:i/>
          <w:iCs/>
          <w:color w:val="000000" w:themeColor="text1"/>
          <w:kern w:val="0"/>
          <w:u w:val="single"/>
          <w14:ligatures w14:val="none"/>
        </w:rPr>
        <w:t xml:space="preserve">achine with a </w:t>
      </w:r>
      <w:r>
        <w:rPr>
          <w:rFonts w:ascii="Times New Roman" w:eastAsia="Times New Roman" w:hAnsi="Times New Roman" w:cs="Times New Roman"/>
          <w:i/>
          <w:iCs/>
          <w:color w:val="000000" w:themeColor="text1"/>
          <w:kern w:val="0"/>
          <w:u w:val="single"/>
          <w14:ligatures w14:val="none"/>
        </w:rPr>
        <w:t>R</w:t>
      </w:r>
      <w:r w:rsidRPr="00E47CB9">
        <w:rPr>
          <w:rFonts w:ascii="Times New Roman" w:eastAsia="Times New Roman" w:hAnsi="Times New Roman" w:cs="Times New Roman"/>
          <w:i/>
          <w:iCs/>
          <w:color w:val="000000" w:themeColor="text1"/>
          <w:kern w:val="0"/>
          <w:u w:val="single"/>
          <w14:ligatures w14:val="none"/>
        </w:rPr>
        <w:t xml:space="preserve">adial </w:t>
      </w:r>
      <w:r>
        <w:rPr>
          <w:rFonts w:ascii="Times New Roman" w:eastAsia="Times New Roman" w:hAnsi="Times New Roman" w:cs="Times New Roman"/>
          <w:i/>
          <w:iCs/>
          <w:color w:val="000000" w:themeColor="text1"/>
          <w:kern w:val="0"/>
          <w:u w:val="single"/>
          <w14:ligatures w14:val="none"/>
        </w:rPr>
        <w:t>K</w:t>
      </w:r>
      <w:r w:rsidRPr="00E47CB9">
        <w:rPr>
          <w:rFonts w:ascii="Times New Roman" w:eastAsia="Times New Roman" w:hAnsi="Times New Roman" w:cs="Times New Roman"/>
          <w:i/>
          <w:iCs/>
          <w:color w:val="000000" w:themeColor="text1"/>
          <w:kern w:val="0"/>
          <w:u w:val="single"/>
          <w14:ligatures w14:val="none"/>
        </w:rPr>
        <w:t>ernel (SVM)</w:t>
      </w:r>
    </w:p>
    <w:p w14:paraId="7DE540AA"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The SVM model used a radial kernel and was tuned over a grid of cost parameters (C: exp(seq(4, 10, length = 5))) and kernel bandwidth parameters (sigma: exp(seq(-12, -6, length = 4))). The optimal parameters were C = 1096.6 and sigma = 0.000335. The tuning plot (Figure 5) shows that smaller sigma values consistently outperformed larger ones, and the optimal combination sits interior to both grid dimensions, confirming adequate grid coverage. Larger sigma values led to sharp AUC declines at increasing C, consistent with the overfitting behavior expected when the kernel is too smooth and the margin too tight simultaneously.</w:t>
      </w:r>
    </w:p>
    <w:p w14:paraId="07EADDE9" w14:textId="513F0463"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Figure 6 presents a side-by-side comparison of the cross-validated AUC, sensitivity, and specificity distributions for all four models using box-and-whisker plots from the resamples() comparison. The four models showed nearly identical AUC distributions, with mean cross-validated AUC of 0.886 for GLM, 0.886 for GLMN, 0.886 for GBM, and 0.887 for SVM. All interquartile ranges overlap substantially, indicating no meaningful difference in discriminative performance across models.</w:t>
      </w:r>
    </w:p>
    <w:p w14:paraId="584FE7A5" w14:textId="01074BEE" w:rsidR="00DC2649" w:rsidRPr="008659F3" w:rsidRDefault="00B975DA" w:rsidP="001211C5">
      <w:pPr>
        <w:shd w:val="clear" w:color="auto" w:fill="FFFFFF"/>
        <w:spacing w:after="0" w:line="360" w:lineRule="auto"/>
        <w:outlineLvl w:val="1"/>
        <w:rPr>
          <w:rFonts w:ascii="Times New Roman" w:eastAsia="Times New Roman" w:hAnsi="Times New Roman" w:cs="Times New Roman"/>
          <w:b/>
          <w:bCs/>
          <w:color w:val="000000" w:themeColor="text1"/>
          <w:kern w:val="0"/>
          <w:u w:val="single"/>
          <w14:ligatures w14:val="none"/>
        </w:rPr>
      </w:pPr>
      <w:r w:rsidRPr="003C5CFD">
        <w:rPr>
          <w:rFonts w:ascii="Times New Roman" w:eastAsia="Times New Roman" w:hAnsi="Times New Roman" w:cs="Times New Roman"/>
          <w:b/>
          <w:bCs/>
          <w:color w:val="000000" w:themeColor="text1"/>
          <w:kern w:val="0"/>
          <w14:ligatures w14:val="none"/>
        </w:rPr>
        <w:t xml:space="preserve">Part </w:t>
      </w:r>
      <w:r>
        <w:rPr>
          <w:rFonts w:ascii="Times New Roman" w:eastAsia="Times New Roman" w:hAnsi="Times New Roman" w:cs="Times New Roman"/>
          <w:b/>
          <w:bCs/>
          <w:color w:val="000000" w:themeColor="text1"/>
          <w:kern w:val="0"/>
          <w14:ligatures w14:val="none"/>
        </w:rPr>
        <w:t>II</w:t>
      </w:r>
      <w:r>
        <w:rPr>
          <w:rFonts w:ascii="Times New Roman" w:eastAsia="Times New Roman" w:hAnsi="Times New Roman" w:cs="Times New Roman"/>
          <w:b/>
          <w:bCs/>
          <w:color w:val="000000" w:themeColor="text1"/>
          <w:kern w:val="0"/>
          <w14:ligatures w14:val="none"/>
        </w:rPr>
        <w:t>I</w:t>
      </w:r>
      <w:r w:rsidRPr="003C5CFD">
        <w:rPr>
          <w:rFonts w:ascii="Times New Roman" w:eastAsia="Times New Roman" w:hAnsi="Times New Roman" w:cs="Times New Roman"/>
          <w:b/>
          <w:bCs/>
          <w:color w:val="000000" w:themeColor="text1"/>
          <w:kern w:val="0"/>
          <w14:ligatures w14:val="none"/>
        </w:rPr>
        <w:t xml:space="preserve">: </w:t>
      </w:r>
      <w:r w:rsidR="00DC2649" w:rsidRPr="00DE3641">
        <w:rPr>
          <w:rFonts w:ascii="Times New Roman" w:eastAsia="Times New Roman" w:hAnsi="Times New Roman" w:cs="Times New Roman"/>
          <w:b/>
          <w:bCs/>
          <w:color w:val="000000" w:themeColor="text1"/>
          <w:kern w:val="0"/>
          <w14:ligatures w14:val="none"/>
        </w:rPr>
        <w:t>Results</w:t>
      </w:r>
    </w:p>
    <w:p w14:paraId="0C768108" w14:textId="77777777" w:rsidR="00DC2649" w:rsidRPr="008659F3" w:rsidRDefault="00DC2649" w:rsidP="008659F3">
      <w:pPr>
        <w:shd w:val="clear" w:color="auto" w:fill="FFFFFF"/>
        <w:spacing w:after="0" w:line="360" w:lineRule="auto"/>
        <w:outlineLvl w:val="2"/>
        <w:rPr>
          <w:rFonts w:ascii="Times New Roman" w:eastAsia="Times New Roman" w:hAnsi="Times New Roman" w:cs="Times New Roman"/>
          <w:i/>
          <w:iCs/>
          <w:color w:val="000000" w:themeColor="text1"/>
          <w:kern w:val="0"/>
          <w14:ligatures w14:val="none"/>
        </w:rPr>
      </w:pPr>
      <w:r w:rsidRPr="008659F3">
        <w:rPr>
          <w:rFonts w:ascii="Times New Roman" w:eastAsia="Times New Roman" w:hAnsi="Times New Roman" w:cs="Times New Roman"/>
          <w:i/>
          <w:iCs/>
          <w:color w:val="000000" w:themeColor="text1"/>
          <w:kern w:val="0"/>
          <w14:ligatures w14:val="none"/>
        </w:rPr>
        <w:t>Question 1: Do Boosting and SVM Outperform Simpler Models?</w:t>
      </w:r>
    </w:p>
    <w:p w14:paraId="3940CC73"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Based on both cross-validated and test set performance, boosting and SVM do not provide meaningfully superior predictive performance compared to logistic regression in this dataset. The mean cross-validated AUC ranged narrowly from 0.886 to 0.887 across all four models, with overlapping confidence intervals. On the held-out test set of 200 participants, all four models achieved AUC values between 0.893 and 0.896: GLM = 0.893, GLMN = 0.896, GBM = 0.893, SVM = 0.896 (see Figure 7). The four ROC curves overlap substantially across the full range of thresholds, visually confirming the equivalence of model performance.</w:t>
      </w:r>
    </w:p>
    <w:p w14:paraId="05F028A1"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Examining sensitivity and specificity from cross-validation provides additional nuance. The boosting model showed the lowest mean sensitivity (0.688) among the four models, meaning it missed more severe cases than the other approaches. Specificity was highest for GBM (0.917), indicating it predicted “not severe” more conservatively, trading sensitivity for specificity. Logistic regression and elastic net achieved higher sensitivity (0.727 and 0.735 respectively) with comparable specificity, making them more balanced classifiers for this task.</w:t>
      </w:r>
    </w:p>
    <w:p w14:paraId="69535B96"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 xml:space="preserve">Given equivalent AUC and better sensitivity, the simpler logistic regression model is preferred over boosting and SVM for this application. When predictive performance is </w:t>
      </w:r>
      <w:r w:rsidRPr="00DC2649">
        <w:rPr>
          <w:rFonts w:ascii="Times New Roman" w:eastAsia="Times New Roman" w:hAnsi="Times New Roman" w:cs="Times New Roman"/>
          <w:color w:val="000000" w:themeColor="text1"/>
          <w:kern w:val="0"/>
          <w14:ligatures w14:val="none"/>
        </w:rPr>
        <w:lastRenderedPageBreak/>
        <w:t>equivalent, the principle of parsimony favors the interpretable model, particularly in a clinical context where understanding the contribution of individual predictors is essential.</w:t>
      </w:r>
    </w:p>
    <w:p w14:paraId="3DED850D" w14:textId="77777777" w:rsidR="00DC2649" w:rsidRPr="008659F3" w:rsidRDefault="00DC2649" w:rsidP="008659F3">
      <w:pPr>
        <w:shd w:val="clear" w:color="auto" w:fill="FFFFFF"/>
        <w:spacing w:after="0" w:line="360" w:lineRule="auto"/>
        <w:outlineLvl w:val="2"/>
        <w:rPr>
          <w:rFonts w:ascii="Times New Roman" w:eastAsia="Times New Roman" w:hAnsi="Times New Roman" w:cs="Times New Roman"/>
          <w:i/>
          <w:iCs/>
          <w:color w:val="000000" w:themeColor="text1"/>
          <w:kern w:val="0"/>
          <w14:ligatures w14:val="none"/>
        </w:rPr>
      </w:pPr>
      <w:r w:rsidRPr="008659F3">
        <w:rPr>
          <w:rFonts w:ascii="Times New Roman" w:eastAsia="Times New Roman" w:hAnsi="Times New Roman" w:cs="Times New Roman"/>
          <w:i/>
          <w:iCs/>
          <w:color w:val="000000" w:themeColor="text1"/>
          <w:kern w:val="0"/>
          <w14:ligatures w14:val="none"/>
        </w:rPr>
        <w:t>Question 2: Predictive Risk Score</w:t>
      </w:r>
    </w:p>
    <w:p w14:paraId="5C160B5A"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The logistic regression model was used to generate individual predicted probabilities of severe COVID-19 infection for each participant in the test set. These probabilities serve as a continuous risk score, quantifying each individual’s estimated chance of experiencing severe infection based on their demographic and clinical characteristics.</w:t>
      </w:r>
    </w:p>
    <w:p w14:paraId="54BE6E69"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The model demonstrated strong discrimination at both extremes of predicted risk. The ten highest-risk individuals received predicted probabilities ranging from 0.930 to 1.000, and all ten were correctly identified as severe cases. The ten lowest-risk individuals received predicted probabilities ranging from 0.002 to 0.010, all correctly classified as not severe. Uncertainty was concentrated among borderline cases with predicted probabilities near 0.5, which accounted for the majority of misclassifications.</w:t>
      </w:r>
    </w:p>
    <w:p w14:paraId="289E8F82"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At the standard 0.5 classification threshold, the model achieved the following performance on the test set: accuracy = 0.825, sensitivity = 0.750, specificity = 0.860, positive predictive value = 0.716, negative predictive value = 0.880, and kappa = 0.603. Of 64 truly severe cases in the test set, 48 were correctly identified and 16 were missed. Of 136 truly not-severe cases, 117 were correctly identified and 19 were incorrectly flagged. In clinical settings where missing a severe case carries higher cost than a false alarm, lowering the classification threshold below 0.5 would increase sensitivity at the expense of specificity, allowing the risk score to be calibrated to the specific decision context.</w:t>
      </w:r>
    </w:p>
    <w:p w14:paraId="65F42E23" w14:textId="77777777" w:rsidR="00DC2649" w:rsidRPr="008659F3" w:rsidRDefault="00DC2649" w:rsidP="008659F3">
      <w:pPr>
        <w:shd w:val="clear" w:color="auto" w:fill="FFFFFF"/>
        <w:spacing w:after="0" w:line="360" w:lineRule="auto"/>
        <w:outlineLvl w:val="2"/>
        <w:rPr>
          <w:rFonts w:ascii="Times New Roman" w:eastAsia="Times New Roman" w:hAnsi="Times New Roman" w:cs="Times New Roman"/>
          <w:i/>
          <w:iCs/>
          <w:color w:val="000000" w:themeColor="text1"/>
          <w:kern w:val="0"/>
          <w14:ligatures w14:val="none"/>
        </w:rPr>
      </w:pPr>
      <w:r w:rsidRPr="008659F3">
        <w:rPr>
          <w:rFonts w:ascii="Times New Roman" w:eastAsia="Times New Roman" w:hAnsi="Times New Roman" w:cs="Times New Roman"/>
          <w:i/>
          <w:iCs/>
          <w:color w:val="000000" w:themeColor="text1"/>
          <w:kern w:val="0"/>
          <w14:ligatures w14:val="none"/>
        </w:rPr>
        <w:t>Question 3: Key Predictors and Their Influence</w:t>
      </w:r>
    </w:p>
    <w:p w14:paraId="639AF298"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Variable importance was assessed using two complementary approaches: absolute z-statistics from the logistic regression model (Figure 8) and relative influence from the boosting model (Figure 9). The top three predictors were consistent across both methods: vaccination status, systolic blood pressure, and BMI.</w:t>
      </w:r>
    </w:p>
    <w:p w14:paraId="4A59910D"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Vaccination status was the dominant predictor by a wide margin. In the boosting model, it accounted for 49.6% of total relative influence — nearly half of all predictive power in the model. In logistic regression, its importance score was approximately three times larger than the second-ranked predictor. Partial dependence plots confirm the magnitude of this effect (Figure 10): unvaccinated individuals had an average predicted probability of severe infection of approximately 0.62, compared to approximately 0.15 for vaccinated individuals — a difference of 47 percentage points, consistent across both logistic regression and boosting models.</w:t>
      </w:r>
    </w:p>
    <w:p w14:paraId="691E85C6"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lastRenderedPageBreak/>
        <w:t>Systolic blood pressure was the second most important predictor, with 20.6% relative influence in the boosting model. The two models revealed importantly different characterizations of this relationship. Logistic regression modeled a smooth, monotonically increasing association between SBP and predicted severity probability. The boosting model, being nonparametric and more flexible, revealed a threshold effect: predicted probability remained low and flat below SBP of approximately 122 mmHg, then rose sharply between 122 and 140 mmHg before plateauing around 0.42. This threshold pattern suggests a clinically meaningful danger zone for blood pressure rather than a uniform linear gradient, and illustrates the value of flexible models for understanding the shape of predictor-outcome relationships even when overall AUC is similar.</w:t>
      </w:r>
    </w:p>
    <w:p w14:paraId="52FEE5E7" w14:textId="77777777" w:rsidR="00DC2649" w:rsidRPr="00DC2649"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BMI was the third most important predictor (11.2% relative influence in GBM). Both models showed a nonlinear, S-shaped relationship between BMI and predicted severity, with the steepest increase occurring between BMI values of approximately 25 and 32. The boosting model’s partial dependence plot plateaued at approximately 0.55 predicted probability for high BMI values, while the logistic regression curve approached 1.0 at the upper extreme — likely reflecting extrapolation beyond the range of training data. The GBM estimate is more reliable in this region. The steep inflection around BMI 30 is consistent with the clinical threshold between overweight and obese classification, suggesting this boundary marks a meaningful increase in severity risk.</w:t>
      </w:r>
    </w:p>
    <w:p w14:paraId="4CEB30CB" w14:textId="01ED6440" w:rsidR="00DC2649" w:rsidRPr="00E43FF4" w:rsidRDefault="00DC2649" w:rsidP="00E169FD">
      <w:pPr>
        <w:shd w:val="clear" w:color="auto" w:fill="FFFFFF"/>
        <w:spacing w:after="0" w:line="360" w:lineRule="auto"/>
        <w:ind w:firstLine="720"/>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Age (5.7% relative influence) and LDL cholesterol (3.9%) were moderate predictors in the boosting model. Diabetes and hypertension, while statistically significant in univariate analysis, showed low relative influence in the boosting model — likely because their information is largely captured by SBP and BMI, which are continuous and more precise measures of the same underlying physiological burden. Smoking status, race, and depression score showed near-zero influence in both models, consistent with their non-significant associations observed in exploratory analysis.</w:t>
      </w:r>
    </w:p>
    <w:p w14:paraId="0721E462" w14:textId="77777777" w:rsidR="008659F3" w:rsidRDefault="008659F3">
      <w:pPr>
        <w:rPr>
          <w:rFonts w:ascii="Times New Roman" w:eastAsia="Times New Roman" w:hAnsi="Times New Roman" w:cs="Times New Roman"/>
          <w:b/>
          <w:bCs/>
          <w:color w:val="000000" w:themeColor="text1"/>
          <w:kern w:val="0"/>
          <w:u w:val="single"/>
          <w14:ligatures w14:val="none"/>
        </w:rPr>
      </w:pPr>
      <w:r>
        <w:rPr>
          <w:rFonts w:ascii="Times New Roman" w:eastAsia="Times New Roman" w:hAnsi="Times New Roman" w:cs="Times New Roman"/>
          <w:b/>
          <w:bCs/>
          <w:color w:val="000000" w:themeColor="text1"/>
          <w:kern w:val="0"/>
          <w:u w:val="single"/>
          <w14:ligatures w14:val="none"/>
        </w:rPr>
        <w:br w:type="page"/>
      </w:r>
    </w:p>
    <w:p w14:paraId="67879E68" w14:textId="3BB418A2" w:rsidR="00DC2649" w:rsidRPr="008659F3" w:rsidRDefault="00DC2649" w:rsidP="008659F3">
      <w:pPr>
        <w:shd w:val="clear" w:color="auto" w:fill="FFFFFF"/>
        <w:spacing w:before="300" w:after="0" w:line="360" w:lineRule="auto"/>
        <w:outlineLvl w:val="1"/>
        <w:rPr>
          <w:rFonts w:ascii="Times New Roman" w:eastAsia="Times New Roman" w:hAnsi="Times New Roman" w:cs="Times New Roman"/>
          <w:b/>
          <w:bCs/>
          <w:color w:val="000000" w:themeColor="text1"/>
          <w:kern w:val="0"/>
          <w:u w:val="single"/>
          <w14:ligatures w14:val="none"/>
        </w:rPr>
      </w:pPr>
      <w:r w:rsidRPr="008659F3">
        <w:rPr>
          <w:rFonts w:ascii="Times New Roman" w:eastAsia="Times New Roman" w:hAnsi="Times New Roman" w:cs="Times New Roman"/>
          <w:b/>
          <w:bCs/>
          <w:color w:val="000000" w:themeColor="text1"/>
          <w:kern w:val="0"/>
          <w:u w:val="single"/>
          <w14:ligatures w14:val="none"/>
        </w:rPr>
        <w:lastRenderedPageBreak/>
        <w:t>Appendix</w:t>
      </w:r>
    </w:p>
    <w:p w14:paraId="58D4D911" w14:textId="4CADD58C" w:rsidR="00DC2649" w:rsidRPr="00DC2649" w:rsidRDefault="00DC2649" w:rsidP="001E1087">
      <w:pPr>
        <w:shd w:val="clear" w:color="auto" w:fill="FFFFFF"/>
        <w:spacing w:after="12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Table 1.</w:t>
      </w:r>
      <w:r w:rsidRPr="00DC2649">
        <w:rPr>
          <w:rFonts w:ascii="Times New Roman" w:eastAsia="Times New Roman" w:hAnsi="Times New Roman" w:cs="Times New Roman"/>
          <w:color w:val="000000" w:themeColor="text1"/>
          <w:kern w:val="0"/>
          <w14:ligatures w14:val="none"/>
        </w:rPr>
        <w:t> Descriptive statistics for all variables stratified by COVID-19 severity status (training set, n = 800). Continuous variables are summarized as mean (SD); categorical variables as n (%).</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85"/>
        <w:gridCol w:w="1529"/>
        <w:gridCol w:w="1529"/>
        <w:gridCol w:w="1529"/>
      </w:tblGrid>
      <w:tr w:rsidR="009F34FA" w:rsidRPr="009F34FA" w14:paraId="7D5242C8" w14:textId="77777777" w:rsidTr="00BE1DA7">
        <w:trPr>
          <w:trHeight w:val="57"/>
          <w:tblHeader/>
        </w:trPr>
        <w:tc>
          <w:tcPr>
            <w:tcW w:w="0" w:type="auto"/>
            <w:shd w:val="clear" w:color="auto" w:fill="FFFFFF"/>
            <w:tcMar>
              <w:top w:w="75" w:type="dxa"/>
              <w:left w:w="75" w:type="dxa"/>
              <w:bottom w:w="90" w:type="dxa"/>
              <w:right w:w="75" w:type="dxa"/>
            </w:tcMar>
            <w:vAlign w:val="bottom"/>
            <w:hideMark/>
          </w:tcPr>
          <w:p w14:paraId="182FFA82" w14:textId="77777777" w:rsidR="009F34FA" w:rsidRPr="009F34FA" w:rsidRDefault="009F34FA" w:rsidP="00CD2204">
            <w:pPr>
              <w:spacing w:after="0" w:line="240" w:lineRule="auto"/>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Characteristic</w:t>
            </w:r>
          </w:p>
        </w:tc>
        <w:tc>
          <w:tcPr>
            <w:tcW w:w="0" w:type="auto"/>
            <w:shd w:val="clear" w:color="auto" w:fill="FFFFFF"/>
            <w:tcMar>
              <w:top w:w="75" w:type="dxa"/>
              <w:left w:w="75" w:type="dxa"/>
              <w:bottom w:w="90" w:type="dxa"/>
              <w:right w:w="75" w:type="dxa"/>
            </w:tcMar>
            <w:vAlign w:val="bottom"/>
            <w:hideMark/>
          </w:tcPr>
          <w:p w14:paraId="03AA07F9" w14:textId="77777777" w:rsidR="009F34FA" w:rsidRPr="009F34FA" w:rsidRDefault="009F34FA" w:rsidP="00CD2204">
            <w:pPr>
              <w:spacing w:after="0" w:line="240" w:lineRule="auto"/>
              <w:jc w:val="center"/>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Overall</w:t>
            </w:r>
            <w:r w:rsidRPr="009F34FA">
              <w:rPr>
                <w:rFonts w:ascii="Arial" w:eastAsia="Times New Roman" w:hAnsi="Arial" w:cs="Arial"/>
                <w:color w:val="333333"/>
                <w:kern w:val="0"/>
                <w:sz w:val="20"/>
                <w:szCs w:val="20"/>
                <w14:ligatures w14:val="none"/>
              </w:rPr>
              <w:br/>
              <w:t>N = 800</w:t>
            </w:r>
            <w:r w:rsidRPr="009F34FA">
              <w:rPr>
                <w:rFonts w:ascii="Arial" w:eastAsia="Times New Roman" w:hAnsi="Arial" w:cs="Arial"/>
                <w:i/>
                <w:iCs/>
                <w:color w:val="333333"/>
                <w:kern w:val="0"/>
                <w:sz w:val="20"/>
                <w:szCs w:val="20"/>
                <w:vertAlign w:val="superscript"/>
                <w14:ligatures w14:val="none"/>
              </w:rPr>
              <w:t>1</w:t>
            </w:r>
          </w:p>
        </w:tc>
        <w:tc>
          <w:tcPr>
            <w:tcW w:w="0" w:type="auto"/>
            <w:shd w:val="clear" w:color="auto" w:fill="FFFFFF"/>
            <w:tcMar>
              <w:top w:w="75" w:type="dxa"/>
              <w:left w:w="75" w:type="dxa"/>
              <w:bottom w:w="90" w:type="dxa"/>
              <w:right w:w="75" w:type="dxa"/>
            </w:tcMar>
            <w:vAlign w:val="bottom"/>
            <w:hideMark/>
          </w:tcPr>
          <w:p w14:paraId="2D009E85" w14:textId="77777777" w:rsidR="009F34FA" w:rsidRPr="009F34FA" w:rsidRDefault="009F34FA" w:rsidP="00CD2204">
            <w:pPr>
              <w:spacing w:after="0" w:line="240" w:lineRule="auto"/>
              <w:jc w:val="center"/>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severe</w:t>
            </w:r>
            <w:r w:rsidRPr="009F34FA">
              <w:rPr>
                <w:rFonts w:ascii="Arial" w:eastAsia="Times New Roman" w:hAnsi="Arial" w:cs="Arial"/>
                <w:color w:val="333333"/>
                <w:kern w:val="0"/>
                <w:sz w:val="20"/>
                <w:szCs w:val="20"/>
                <w14:ligatures w14:val="none"/>
              </w:rPr>
              <w:br/>
              <w:t>N = 256</w:t>
            </w:r>
            <w:r w:rsidRPr="009F34FA">
              <w:rPr>
                <w:rFonts w:ascii="Arial" w:eastAsia="Times New Roman" w:hAnsi="Arial" w:cs="Arial"/>
                <w:i/>
                <w:iCs/>
                <w:color w:val="333333"/>
                <w:kern w:val="0"/>
                <w:sz w:val="20"/>
                <w:szCs w:val="20"/>
                <w:vertAlign w:val="superscript"/>
                <w14:ligatures w14:val="none"/>
              </w:rPr>
              <w:t>1</w:t>
            </w:r>
          </w:p>
        </w:tc>
        <w:tc>
          <w:tcPr>
            <w:tcW w:w="0" w:type="auto"/>
            <w:shd w:val="clear" w:color="auto" w:fill="FFFFFF"/>
            <w:tcMar>
              <w:top w:w="75" w:type="dxa"/>
              <w:left w:w="75" w:type="dxa"/>
              <w:bottom w:w="90" w:type="dxa"/>
              <w:right w:w="75" w:type="dxa"/>
            </w:tcMar>
            <w:vAlign w:val="bottom"/>
            <w:hideMark/>
          </w:tcPr>
          <w:p w14:paraId="0BCE1D9A" w14:textId="77777777" w:rsidR="009F34FA" w:rsidRPr="009F34FA" w:rsidRDefault="009F34FA" w:rsidP="00CD2204">
            <w:pPr>
              <w:spacing w:after="0" w:line="240" w:lineRule="auto"/>
              <w:jc w:val="center"/>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not_severe</w:t>
            </w:r>
            <w:r w:rsidRPr="009F34FA">
              <w:rPr>
                <w:rFonts w:ascii="Arial" w:eastAsia="Times New Roman" w:hAnsi="Arial" w:cs="Arial"/>
                <w:color w:val="333333"/>
                <w:kern w:val="0"/>
                <w:sz w:val="20"/>
                <w:szCs w:val="20"/>
                <w14:ligatures w14:val="none"/>
              </w:rPr>
              <w:br/>
              <w:t>N = 544</w:t>
            </w:r>
            <w:r w:rsidRPr="009F34FA">
              <w:rPr>
                <w:rFonts w:ascii="Arial" w:eastAsia="Times New Roman" w:hAnsi="Arial" w:cs="Arial"/>
                <w:i/>
                <w:iCs/>
                <w:color w:val="333333"/>
                <w:kern w:val="0"/>
                <w:sz w:val="20"/>
                <w:szCs w:val="20"/>
                <w:vertAlign w:val="superscript"/>
                <w14:ligatures w14:val="none"/>
              </w:rPr>
              <w:t>1</w:t>
            </w:r>
          </w:p>
        </w:tc>
      </w:tr>
      <w:tr w:rsidR="009F34FA" w:rsidRPr="009F34FA" w14:paraId="72542804" w14:textId="77777777" w:rsidTr="00BE1DA7">
        <w:trPr>
          <w:trHeight w:val="57"/>
        </w:trPr>
        <w:tc>
          <w:tcPr>
            <w:tcW w:w="0" w:type="auto"/>
            <w:shd w:val="clear" w:color="auto" w:fill="FFFFFF"/>
            <w:tcMar>
              <w:top w:w="120" w:type="dxa"/>
              <w:left w:w="75" w:type="dxa"/>
              <w:bottom w:w="120" w:type="dxa"/>
              <w:right w:w="75" w:type="dxa"/>
            </w:tcMar>
            <w:vAlign w:val="center"/>
            <w:hideMark/>
          </w:tcPr>
          <w:p w14:paraId="57D8E871"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age</w:t>
            </w:r>
          </w:p>
        </w:tc>
        <w:tc>
          <w:tcPr>
            <w:tcW w:w="0" w:type="auto"/>
            <w:shd w:val="clear" w:color="auto" w:fill="FFFFFF"/>
            <w:tcMar>
              <w:top w:w="120" w:type="dxa"/>
              <w:left w:w="75" w:type="dxa"/>
              <w:bottom w:w="120" w:type="dxa"/>
              <w:right w:w="75" w:type="dxa"/>
            </w:tcMar>
            <w:vAlign w:val="center"/>
            <w:hideMark/>
          </w:tcPr>
          <w:p w14:paraId="375A2592"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60.2 (4.4)</w:t>
            </w:r>
          </w:p>
        </w:tc>
        <w:tc>
          <w:tcPr>
            <w:tcW w:w="0" w:type="auto"/>
            <w:shd w:val="clear" w:color="auto" w:fill="FFFFFF"/>
            <w:tcMar>
              <w:top w:w="120" w:type="dxa"/>
              <w:left w:w="75" w:type="dxa"/>
              <w:bottom w:w="120" w:type="dxa"/>
              <w:right w:w="75" w:type="dxa"/>
            </w:tcMar>
            <w:vAlign w:val="center"/>
            <w:hideMark/>
          </w:tcPr>
          <w:p w14:paraId="186028CF"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61.4 (4.3)</w:t>
            </w:r>
          </w:p>
        </w:tc>
        <w:tc>
          <w:tcPr>
            <w:tcW w:w="0" w:type="auto"/>
            <w:shd w:val="clear" w:color="auto" w:fill="FFFFFF"/>
            <w:tcMar>
              <w:top w:w="120" w:type="dxa"/>
              <w:left w:w="75" w:type="dxa"/>
              <w:bottom w:w="120" w:type="dxa"/>
              <w:right w:w="75" w:type="dxa"/>
            </w:tcMar>
            <w:vAlign w:val="center"/>
            <w:hideMark/>
          </w:tcPr>
          <w:p w14:paraId="3C0A4DB7"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59.6 (4.4)</w:t>
            </w:r>
          </w:p>
        </w:tc>
      </w:tr>
      <w:tr w:rsidR="00BE1DA7" w:rsidRPr="009F34FA" w14:paraId="7EA7D437" w14:textId="77777777" w:rsidTr="00BE1DA7">
        <w:trPr>
          <w:trHeight w:val="122"/>
        </w:trPr>
        <w:tc>
          <w:tcPr>
            <w:tcW w:w="0" w:type="auto"/>
            <w:gridSpan w:val="4"/>
            <w:shd w:val="clear" w:color="auto" w:fill="FFFFFF"/>
            <w:tcMar>
              <w:top w:w="120" w:type="dxa"/>
              <w:left w:w="75" w:type="dxa"/>
              <w:bottom w:w="120" w:type="dxa"/>
              <w:right w:w="75" w:type="dxa"/>
            </w:tcMar>
            <w:vAlign w:val="center"/>
            <w:hideMark/>
          </w:tcPr>
          <w:p w14:paraId="00B6C4C8" w14:textId="2DDD77E0" w:rsidR="00BE1DA7" w:rsidRPr="009F34FA" w:rsidRDefault="00BE1DA7" w:rsidP="00BE1DA7">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gender</w:t>
            </w:r>
          </w:p>
        </w:tc>
      </w:tr>
      <w:tr w:rsidR="009F34FA" w:rsidRPr="009F34FA" w14:paraId="6193CD61" w14:textId="77777777" w:rsidTr="00BE1DA7">
        <w:trPr>
          <w:trHeight w:val="57"/>
        </w:trPr>
        <w:tc>
          <w:tcPr>
            <w:tcW w:w="0" w:type="auto"/>
            <w:shd w:val="clear" w:color="auto" w:fill="FFFFFF"/>
            <w:tcMar>
              <w:top w:w="120" w:type="dxa"/>
              <w:left w:w="75" w:type="dxa"/>
              <w:bottom w:w="120" w:type="dxa"/>
              <w:right w:w="75" w:type="dxa"/>
            </w:tcMar>
            <w:vAlign w:val="center"/>
            <w:hideMark/>
          </w:tcPr>
          <w:p w14:paraId="07853E97"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Female</w:t>
            </w:r>
          </w:p>
        </w:tc>
        <w:tc>
          <w:tcPr>
            <w:tcW w:w="0" w:type="auto"/>
            <w:shd w:val="clear" w:color="auto" w:fill="FFFFFF"/>
            <w:tcMar>
              <w:top w:w="120" w:type="dxa"/>
              <w:left w:w="75" w:type="dxa"/>
              <w:bottom w:w="120" w:type="dxa"/>
              <w:right w:w="75" w:type="dxa"/>
            </w:tcMar>
            <w:vAlign w:val="center"/>
            <w:hideMark/>
          </w:tcPr>
          <w:p w14:paraId="1DBEE86C"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418 (52%)</w:t>
            </w:r>
          </w:p>
        </w:tc>
        <w:tc>
          <w:tcPr>
            <w:tcW w:w="0" w:type="auto"/>
            <w:shd w:val="clear" w:color="auto" w:fill="FFFFFF"/>
            <w:tcMar>
              <w:top w:w="120" w:type="dxa"/>
              <w:left w:w="75" w:type="dxa"/>
              <w:bottom w:w="120" w:type="dxa"/>
              <w:right w:w="75" w:type="dxa"/>
            </w:tcMar>
            <w:vAlign w:val="center"/>
            <w:hideMark/>
          </w:tcPr>
          <w:p w14:paraId="3FE7283D"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140 (55%)</w:t>
            </w:r>
          </w:p>
        </w:tc>
        <w:tc>
          <w:tcPr>
            <w:tcW w:w="0" w:type="auto"/>
            <w:shd w:val="clear" w:color="auto" w:fill="FFFFFF"/>
            <w:tcMar>
              <w:top w:w="120" w:type="dxa"/>
              <w:left w:w="75" w:type="dxa"/>
              <w:bottom w:w="120" w:type="dxa"/>
              <w:right w:w="75" w:type="dxa"/>
            </w:tcMar>
            <w:vAlign w:val="center"/>
            <w:hideMark/>
          </w:tcPr>
          <w:p w14:paraId="21FF7E0F"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278 (51%)</w:t>
            </w:r>
          </w:p>
        </w:tc>
      </w:tr>
      <w:tr w:rsidR="009F34FA" w:rsidRPr="009F34FA" w14:paraId="420F8DE0" w14:textId="77777777" w:rsidTr="00BE1DA7">
        <w:trPr>
          <w:trHeight w:val="57"/>
        </w:trPr>
        <w:tc>
          <w:tcPr>
            <w:tcW w:w="0" w:type="auto"/>
            <w:shd w:val="clear" w:color="auto" w:fill="FFFFFF"/>
            <w:tcMar>
              <w:top w:w="120" w:type="dxa"/>
              <w:left w:w="75" w:type="dxa"/>
              <w:bottom w:w="120" w:type="dxa"/>
              <w:right w:w="75" w:type="dxa"/>
            </w:tcMar>
            <w:vAlign w:val="center"/>
            <w:hideMark/>
          </w:tcPr>
          <w:p w14:paraId="7E3AEA76"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Male</w:t>
            </w:r>
          </w:p>
        </w:tc>
        <w:tc>
          <w:tcPr>
            <w:tcW w:w="0" w:type="auto"/>
            <w:shd w:val="clear" w:color="auto" w:fill="FFFFFF"/>
            <w:tcMar>
              <w:top w:w="120" w:type="dxa"/>
              <w:left w:w="75" w:type="dxa"/>
              <w:bottom w:w="120" w:type="dxa"/>
              <w:right w:w="75" w:type="dxa"/>
            </w:tcMar>
            <w:vAlign w:val="center"/>
            <w:hideMark/>
          </w:tcPr>
          <w:p w14:paraId="3541A41C"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382 (48%)</w:t>
            </w:r>
          </w:p>
        </w:tc>
        <w:tc>
          <w:tcPr>
            <w:tcW w:w="0" w:type="auto"/>
            <w:shd w:val="clear" w:color="auto" w:fill="FFFFFF"/>
            <w:tcMar>
              <w:top w:w="120" w:type="dxa"/>
              <w:left w:w="75" w:type="dxa"/>
              <w:bottom w:w="120" w:type="dxa"/>
              <w:right w:w="75" w:type="dxa"/>
            </w:tcMar>
            <w:vAlign w:val="center"/>
            <w:hideMark/>
          </w:tcPr>
          <w:p w14:paraId="32418796"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116 (45%)</w:t>
            </w:r>
          </w:p>
        </w:tc>
        <w:tc>
          <w:tcPr>
            <w:tcW w:w="0" w:type="auto"/>
            <w:shd w:val="clear" w:color="auto" w:fill="FFFFFF"/>
            <w:tcMar>
              <w:top w:w="120" w:type="dxa"/>
              <w:left w:w="75" w:type="dxa"/>
              <w:bottom w:w="120" w:type="dxa"/>
              <w:right w:w="75" w:type="dxa"/>
            </w:tcMar>
            <w:vAlign w:val="center"/>
            <w:hideMark/>
          </w:tcPr>
          <w:p w14:paraId="16FB4EED"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266 (49%)</w:t>
            </w:r>
          </w:p>
        </w:tc>
      </w:tr>
      <w:tr w:rsidR="00BE1DA7" w:rsidRPr="009F34FA" w14:paraId="203D05B9" w14:textId="77777777" w:rsidTr="00BE1DA7">
        <w:trPr>
          <w:trHeight w:val="57"/>
        </w:trPr>
        <w:tc>
          <w:tcPr>
            <w:tcW w:w="0" w:type="auto"/>
            <w:gridSpan w:val="4"/>
            <w:shd w:val="clear" w:color="auto" w:fill="FFFFFF"/>
            <w:tcMar>
              <w:top w:w="120" w:type="dxa"/>
              <w:left w:w="75" w:type="dxa"/>
              <w:bottom w:w="120" w:type="dxa"/>
              <w:right w:w="75" w:type="dxa"/>
            </w:tcMar>
            <w:vAlign w:val="center"/>
            <w:hideMark/>
          </w:tcPr>
          <w:p w14:paraId="2F606630" w14:textId="43C1674B" w:rsidR="00BE1DA7" w:rsidRPr="009F34FA" w:rsidRDefault="00BE1DA7" w:rsidP="00BE1DA7">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race</w:t>
            </w:r>
          </w:p>
        </w:tc>
      </w:tr>
      <w:tr w:rsidR="009F34FA" w:rsidRPr="009F34FA" w14:paraId="797C4927" w14:textId="77777777" w:rsidTr="00BE1DA7">
        <w:trPr>
          <w:trHeight w:val="57"/>
        </w:trPr>
        <w:tc>
          <w:tcPr>
            <w:tcW w:w="0" w:type="auto"/>
            <w:shd w:val="clear" w:color="auto" w:fill="FFFFFF"/>
            <w:tcMar>
              <w:top w:w="120" w:type="dxa"/>
              <w:left w:w="75" w:type="dxa"/>
              <w:bottom w:w="120" w:type="dxa"/>
              <w:right w:w="75" w:type="dxa"/>
            </w:tcMar>
            <w:vAlign w:val="center"/>
            <w:hideMark/>
          </w:tcPr>
          <w:p w14:paraId="60114C38"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White</w:t>
            </w:r>
          </w:p>
        </w:tc>
        <w:tc>
          <w:tcPr>
            <w:tcW w:w="0" w:type="auto"/>
            <w:shd w:val="clear" w:color="auto" w:fill="FFFFFF"/>
            <w:tcMar>
              <w:top w:w="120" w:type="dxa"/>
              <w:left w:w="75" w:type="dxa"/>
              <w:bottom w:w="120" w:type="dxa"/>
              <w:right w:w="75" w:type="dxa"/>
            </w:tcMar>
            <w:vAlign w:val="center"/>
            <w:hideMark/>
          </w:tcPr>
          <w:p w14:paraId="12A5DB2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509 (64%)</w:t>
            </w:r>
          </w:p>
        </w:tc>
        <w:tc>
          <w:tcPr>
            <w:tcW w:w="0" w:type="auto"/>
            <w:shd w:val="clear" w:color="auto" w:fill="FFFFFF"/>
            <w:tcMar>
              <w:top w:w="120" w:type="dxa"/>
              <w:left w:w="75" w:type="dxa"/>
              <w:bottom w:w="120" w:type="dxa"/>
              <w:right w:w="75" w:type="dxa"/>
            </w:tcMar>
            <w:vAlign w:val="center"/>
            <w:hideMark/>
          </w:tcPr>
          <w:p w14:paraId="7FD56D10"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157 (61%)</w:t>
            </w:r>
          </w:p>
        </w:tc>
        <w:tc>
          <w:tcPr>
            <w:tcW w:w="0" w:type="auto"/>
            <w:shd w:val="clear" w:color="auto" w:fill="FFFFFF"/>
            <w:tcMar>
              <w:top w:w="120" w:type="dxa"/>
              <w:left w:w="75" w:type="dxa"/>
              <w:bottom w:w="120" w:type="dxa"/>
              <w:right w:w="75" w:type="dxa"/>
            </w:tcMar>
            <w:vAlign w:val="center"/>
            <w:hideMark/>
          </w:tcPr>
          <w:p w14:paraId="39C5EF5B"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352 (65%)</w:t>
            </w:r>
          </w:p>
        </w:tc>
      </w:tr>
      <w:tr w:rsidR="009F34FA" w:rsidRPr="009F34FA" w14:paraId="607F4F5A" w14:textId="77777777" w:rsidTr="00BE1DA7">
        <w:trPr>
          <w:trHeight w:val="57"/>
        </w:trPr>
        <w:tc>
          <w:tcPr>
            <w:tcW w:w="0" w:type="auto"/>
            <w:shd w:val="clear" w:color="auto" w:fill="FFFFFF"/>
            <w:tcMar>
              <w:top w:w="120" w:type="dxa"/>
              <w:left w:w="75" w:type="dxa"/>
              <w:bottom w:w="120" w:type="dxa"/>
              <w:right w:w="75" w:type="dxa"/>
            </w:tcMar>
            <w:vAlign w:val="center"/>
            <w:hideMark/>
          </w:tcPr>
          <w:p w14:paraId="300F47DE"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Asian</w:t>
            </w:r>
          </w:p>
        </w:tc>
        <w:tc>
          <w:tcPr>
            <w:tcW w:w="0" w:type="auto"/>
            <w:shd w:val="clear" w:color="auto" w:fill="FFFFFF"/>
            <w:tcMar>
              <w:top w:w="120" w:type="dxa"/>
              <w:left w:w="75" w:type="dxa"/>
              <w:bottom w:w="120" w:type="dxa"/>
              <w:right w:w="75" w:type="dxa"/>
            </w:tcMar>
            <w:vAlign w:val="center"/>
            <w:hideMark/>
          </w:tcPr>
          <w:p w14:paraId="5544DC4D"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51 (6.4%)</w:t>
            </w:r>
          </w:p>
        </w:tc>
        <w:tc>
          <w:tcPr>
            <w:tcW w:w="0" w:type="auto"/>
            <w:shd w:val="clear" w:color="auto" w:fill="FFFFFF"/>
            <w:tcMar>
              <w:top w:w="120" w:type="dxa"/>
              <w:left w:w="75" w:type="dxa"/>
              <w:bottom w:w="120" w:type="dxa"/>
              <w:right w:w="75" w:type="dxa"/>
            </w:tcMar>
            <w:vAlign w:val="center"/>
            <w:hideMark/>
          </w:tcPr>
          <w:p w14:paraId="4DC448D8"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16 (6.3%)</w:t>
            </w:r>
          </w:p>
        </w:tc>
        <w:tc>
          <w:tcPr>
            <w:tcW w:w="0" w:type="auto"/>
            <w:shd w:val="clear" w:color="auto" w:fill="FFFFFF"/>
            <w:tcMar>
              <w:top w:w="120" w:type="dxa"/>
              <w:left w:w="75" w:type="dxa"/>
              <w:bottom w:w="120" w:type="dxa"/>
              <w:right w:w="75" w:type="dxa"/>
            </w:tcMar>
            <w:vAlign w:val="center"/>
            <w:hideMark/>
          </w:tcPr>
          <w:p w14:paraId="7E2B5C42"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35 (6.4%)</w:t>
            </w:r>
          </w:p>
        </w:tc>
      </w:tr>
      <w:tr w:rsidR="009F34FA" w:rsidRPr="009F34FA" w14:paraId="42FA179F" w14:textId="77777777" w:rsidTr="00BE1DA7">
        <w:trPr>
          <w:trHeight w:val="57"/>
        </w:trPr>
        <w:tc>
          <w:tcPr>
            <w:tcW w:w="0" w:type="auto"/>
            <w:shd w:val="clear" w:color="auto" w:fill="FFFFFF"/>
            <w:tcMar>
              <w:top w:w="120" w:type="dxa"/>
              <w:left w:w="75" w:type="dxa"/>
              <w:bottom w:w="120" w:type="dxa"/>
              <w:right w:w="75" w:type="dxa"/>
            </w:tcMar>
            <w:vAlign w:val="center"/>
            <w:hideMark/>
          </w:tcPr>
          <w:p w14:paraId="0F1427CF"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Black</w:t>
            </w:r>
          </w:p>
        </w:tc>
        <w:tc>
          <w:tcPr>
            <w:tcW w:w="0" w:type="auto"/>
            <w:shd w:val="clear" w:color="auto" w:fill="FFFFFF"/>
            <w:tcMar>
              <w:top w:w="120" w:type="dxa"/>
              <w:left w:w="75" w:type="dxa"/>
              <w:bottom w:w="120" w:type="dxa"/>
              <w:right w:w="75" w:type="dxa"/>
            </w:tcMar>
            <w:vAlign w:val="center"/>
            <w:hideMark/>
          </w:tcPr>
          <w:p w14:paraId="1347EA32"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163 (20%)</w:t>
            </w:r>
          </w:p>
        </w:tc>
        <w:tc>
          <w:tcPr>
            <w:tcW w:w="0" w:type="auto"/>
            <w:shd w:val="clear" w:color="auto" w:fill="FFFFFF"/>
            <w:tcMar>
              <w:top w:w="120" w:type="dxa"/>
              <w:left w:w="75" w:type="dxa"/>
              <w:bottom w:w="120" w:type="dxa"/>
              <w:right w:w="75" w:type="dxa"/>
            </w:tcMar>
            <w:vAlign w:val="center"/>
            <w:hideMark/>
          </w:tcPr>
          <w:p w14:paraId="48F04A45"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59 (23%)</w:t>
            </w:r>
          </w:p>
        </w:tc>
        <w:tc>
          <w:tcPr>
            <w:tcW w:w="0" w:type="auto"/>
            <w:shd w:val="clear" w:color="auto" w:fill="FFFFFF"/>
            <w:tcMar>
              <w:top w:w="120" w:type="dxa"/>
              <w:left w:w="75" w:type="dxa"/>
              <w:bottom w:w="120" w:type="dxa"/>
              <w:right w:w="75" w:type="dxa"/>
            </w:tcMar>
            <w:vAlign w:val="center"/>
            <w:hideMark/>
          </w:tcPr>
          <w:p w14:paraId="455E0532"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104 (19%)</w:t>
            </w:r>
          </w:p>
        </w:tc>
      </w:tr>
      <w:tr w:rsidR="009F34FA" w:rsidRPr="009F34FA" w14:paraId="181204B7" w14:textId="77777777" w:rsidTr="00BE1DA7">
        <w:trPr>
          <w:trHeight w:val="57"/>
        </w:trPr>
        <w:tc>
          <w:tcPr>
            <w:tcW w:w="0" w:type="auto"/>
            <w:shd w:val="clear" w:color="auto" w:fill="FFFFFF"/>
            <w:tcMar>
              <w:top w:w="120" w:type="dxa"/>
              <w:left w:w="75" w:type="dxa"/>
              <w:bottom w:w="120" w:type="dxa"/>
              <w:right w:w="75" w:type="dxa"/>
            </w:tcMar>
            <w:vAlign w:val="center"/>
            <w:hideMark/>
          </w:tcPr>
          <w:p w14:paraId="0F68FB0B"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Hispanic</w:t>
            </w:r>
          </w:p>
        </w:tc>
        <w:tc>
          <w:tcPr>
            <w:tcW w:w="0" w:type="auto"/>
            <w:shd w:val="clear" w:color="auto" w:fill="FFFFFF"/>
            <w:tcMar>
              <w:top w:w="120" w:type="dxa"/>
              <w:left w:w="75" w:type="dxa"/>
              <w:bottom w:w="120" w:type="dxa"/>
              <w:right w:w="75" w:type="dxa"/>
            </w:tcMar>
            <w:vAlign w:val="center"/>
            <w:hideMark/>
          </w:tcPr>
          <w:p w14:paraId="49738506"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77 (9.6%)</w:t>
            </w:r>
          </w:p>
        </w:tc>
        <w:tc>
          <w:tcPr>
            <w:tcW w:w="0" w:type="auto"/>
            <w:shd w:val="clear" w:color="auto" w:fill="FFFFFF"/>
            <w:tcMar>
              <w:top w:w="120" w:type="dxa"/>
              <w:left w:w="75" w:type="dxa"/>
              <w:bottom w:w="120" w:type="dxa"/>
              <w:right w:w="75" w:type="dxa"/>
            </w:tcMar>
            <w:vAlign w:val="center"/>
            <w:hideMark/>
          </w:tcPr>
          <w:p w14:paraId="6FC32193"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24 (9.4%)</w:t>
            </w:r>
          </w:p>
        </w:tc>
        <w:tc>
          <w:tcPr>
            <w:tcW w:w="0" w:type="auto"/>
            <w:shd w:val="clear" w:color="auto" w:fill="FFFFFF"/>
            <w:tcMar>
              <w:top w:w="120" w:type="dxa"/>
              <w:left w:w="75" w:type="dxa"/>
              <w:bottom w:w="120" w:type="dxa"/>
              <w:right w:w="75" w:type="dxa"/>
            </w:tcMar>
            <w:vAlign w:val="center"/>
            <w:hideMark/>
          </w:tcPr>
          <w:p w14:paraId="2BEC01E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53 (9.7%)</w:t>
            </w:r>
          </w:p>
        </w:tc>
      </w:tr>
      <w:tr w:rsidR="00BE1DA7" w:rsidRPr="009F34FA" w14:paraId="1B9FA8CE" w14:textId="77777777" w:rsidTr="00BE1DA7">
        <w:trPr>
          <w:trHeight w:val="57"/>
        </w:trPr>
        <w:tc>
          <w:tcPr>
            <w:tcW w:w="0" w:type="auto"/>
            <w:gridSpan w:val="4"/>
            <w:shd w:val="clear" w:color="auto" w:fill="FFFFFF"/>
            <w:tcMar>
              <w:top w:w="120" w:type="dxa"/>
              <w:left w:w="75" w:type="dxa"/>
              <w:bottom w:w="120" w:type="dxa"/>
              <w:right w:w="75" w:type="dxa"/>
            </w:tcMar>
            <w:vAlign w:val="center"/>
            <w:hideMark/>
          </w:tcPr>
          <w:p w14:paraId="2ED77B3D" w14:textId="1075F7A2" w:rsidR="00BE1DA7" w:rsidRPr="009F34FA" w:rsidRDefault="00BE1DA7" w:rsidP="00BE1DA7">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smoking</w:t>
            </w:r>
          </w:p>
        </w:tc>
      </w:tr>
      <w:tr w:rsidR="009F34FA" w:rsidRPr="009F34FA" w14:paraId="72DC7B51" w14:textId="77777777" w:rsidTr="00BE1DA7">
        <w:trPr>
          <w:trHeight w:val="57"/>
        </w:trPr>
        <w:tc>
          <w:tcPr>
            <w:tcW w:w="0" w:type="auto"/>
            <w:shd w:val="clear" w:color="auto" w:fill="FFFFFF"/>
            <w:tcMar>
              <w:top w:w="120" w:type="dxa"/>
              <w:left w:w="75" w:type="dxa"/>
              <w:bottom w:w="120" w:type="dxa"/>
              <w:right w:w="75" w:type="dxa"/>
            </w:tcMar>
            <w:vAlign w:val="center"/>
            <w:hideMark/>
          </w:tcPr>
          <w:p w14:paraId="571BB1EA"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Never</w:t>
            </w:r>
          </w:p>
        </w:tc>
        <w:tc>
          <w:tcPr>
            <w:tcW w:w="0" w:type="auto"/>
            <w:shd w:val="clear" w:color="auto" w:fill="FFFFFF"/>
            <w:tcMar>
              <w:top w:w="120" w:type="dxa"/>
              <w:left w:w="75" w:type="dxa"/>
              <w:bottom w:w="120" w:type="dxa"/>
              <w:right w:w="75" w:type="dxa"/>
            </w:tcMar>
            <w:vAlign w:val="center"/>
            <w:hideMark/>
          </w:tcPr>
          <w:p w14:paraId="5C8537FF"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494 (62%)</w:t>
            </w:r>
          </w:p>
        </w:tc>
        <w:tc>
          <w:tcPr>
            <w:tcW w:w="0" w:type="auto"/>
            <w:shd w:val="clear" w:color="auto" w:fill="FFFFFF"/>
            <w:tcMar>
              <w:top w:w="120" w:type="dxa"/>
              <w:left w:w="75" w:type="dxa"/>
              <w:bottom w:w="120" w:type="dxa"/>
              <w:right w:w="75" w:type="dxa"/>
            </w:tcMar>
            <w:vAlign w:val="center"/>
            <w:hideMark/>
          </w:tcPr>
          <w:p w14:paraId="7DC2113E"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148 (58%)</w:t>
            </w:r>
          </w:p>
        </w:tc>
        <w:tc>
          <w:tcPr>
            <w:tcW w:w="0" w:type="auto"/>
            <w:shd w:val="clear" w:color="auto" w:fill="FFFFFF"/>
            <w:tcMar>
              <w:top w:w="120" w:type="dxa"/>
              <w:left w:w="75" w:type="dxa"/>
              <w:bottom w:w="120" w:type="dxa"/>
              <w:right w:w="75" w:type="dxa"/>
            </w:tcMar>
            <w:vAlign w:val="center"/>
            <w:hideMark/>
          </w:tcPr>
          <w:p w14:paraId="191C6F0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346 (64%)</w:t>
            </w:r>
          </w:p>
        </w:tc>
      </w:tr>
      <w:tr w:rsidR="009F34FA" w:rsidRPr="009F34FA" w14:paraId="2F830A66" w14:textId="77777777" w:rsidTr="00BE1DA7">
        <w:trPr>
          <w:trHeight w:val="57"/>
        </w:trPr>
        <w:tc>
          <w:tcPr>
            <w:tcW w:w="0" w:type="auto"/>
            <w:shd w:val="clear" w:color="auto" w:fill="FFFFFF"/>
            <w:tcMar>
              <w:top w:w="120" w:type="dxa"/>
              <w:left w:w="75" w:type="dxa"/>
              <w:bottom w:w="120" w:type="dxa"/>
              <w:right w:w="75" w:type="dxa"/>
            </w:tcMar>
            <w:vAlign w:val="center"/>
            <w:hideMark/>
          </w:tcPr>
          <w:p w14:paraId="0F73C478"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Former</w:t>
            </w:r>
          </w:p>
        </w:tc>
        <w:tc>
          <w:tcPr>
            <w:tcW w:w="0" w:type="auto"/>
            <w:shd w:val="clear" w:color="auto" w:fill="FFFFFF"/>
            <w:tcMar>
              <w:top w:w="120" w:type="dxa"/>
              <w:left w:w="75" w:type="dxa"/>
              <w:bottom w:w="120" w:type="dxa"/>
              <w:right w:w="75" w:type="dxa"/>
            </w:tcMar>
            <w:vAlign w:val="center"/>
            <w:hideMark/>
          </w:tcPr>
          <w:p w14:paraId="6744F49A"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234 (29%)</w:t>
            </w:r>
          </w:p>
        </w:tc>
        <w:tc>
          <w:tcPr>
            <w:tcW w:w="0" w:type="auto"/>
            <w:shd w:val="clear" w:color="auto" w:fill="FFFFFF"/>
            <w:tcMar>
              <w:top w:w="120" w:type="dxa"/>
              <w:left w:w="75" w:type="dxa"/>
              <w:bottom w:w="120" w:type="dxa"/>
              <w:right w:w="75" w:type="dxa"/>
            </w:tcMar>
            <w:vAlign w:val="center"/>
            <w:hideMark/>
          </w:tcPr>
          <w:p w14:paraId="5B689CF3"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84 (33%)</w:t>
            </w:r>
          </w:p>
        </w:tc>
        <w:tc>
          <w:tcPr>
            <w:tcW w:w="0" w:type="auto"/>
            <w:shd w:val="clear" w:color="auto" w:fill="FFFFFF"/>
            <w:tcMar>
              <w:top w:w="120" w:type="dxa"/>
              <w:left w:w="75" w:type="dxa"/>
              <w:bottom w:w="120" w:type="dxa"/>
              <w:right w:w="75" w:type="dxa"/>
            </w:tcMar>
            <w:vAlign w:val="center"/>
            <w:hideMark/>
          </w:tcPr>
          <w:p w14:paraId="5759EA6C"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150 (28%)</w:t>
            </w:r>
          </w:p>
        </w:tc>
      </w:tr>
      <w:tr w:rsidR="009F34FA" w:rsidRPr="009F34FA" w14:paraId="6420CF6F" w14:textId="77777777" w:rsidTr="00BE1DA7">
        <w:trPr>
          <w:trHeight w:val="57"/>
        </w:trPr>
        <w:tc>
          <w:tcPr>
            <w:tcW w:w="0" w:type="auto"/>
            <w:shd w:val="clear" w:color="auto" w:fill="FFFFFF"/>
            <w:tcMar>
              <w:top w:w="120" w:type="dxa"/>
              <w:left w:w="75" w:type="dxa"/>
              <w:bottom w:w="120" w:type="dxa"/>
              <w:right w:w="75" w:type="dxa"/>
            </w:tcMar>
            <w:vAlign w:val="center"/>
            <w:hideMark/>
          </w:tcPr>
          <w:p w14:paraId="5132CABD"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Current</w:t>
            </w:r>
          </w:p>
        </w:tc>
        <w:tc>
          <w:tcPr>
            <w:tcW w:w="0" w:type="auto"/>
            <w:shd w:val="clear" w:color="auto" w:fill="FFFFFF"/>
            <w:tcMar>
              <w:top w:w="120" w:type="dxa"/>
              <w:left w:w="75" w:type="dxa"/>
              <w:bottom w:w="120" w:type="dxa"/>
              <w:right w:w="75" w:type="dxa"/>
            </w:tcMar>
            <w:vAlign w:val="center"/>
            <w:hideMark/>
          </w:tcPr>
          <w:p w14:paraId="24988CC7"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72 (9.0%)</w:t>
            </w:r>
          </w:p>
        </w:tc>
        <w:tc>
          <w:tcPr>
            <w:tcW w:w="0" w:type="auto"/>
            <w:shd w:val="clear" w:color="auto" w:fill="FFFFFF"/>
            <w:tcMar>
              <w:top w:w="120" w:type="dxa"/>
              <w:left w:w="75" w:type="dxa"/>
              <w:bottom w:w="120" w:type="dxa"/>
              <w:right w:w="75" w:type="dxa"/>
            </w:tcMar>
            <w:vAlign w:val="center"/>
            <w:hideMark/>
          </w:tcPr>
          <w:p w14:paraId="0B5D7926"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24 (9.4%)</w:t>
            </w:r>
          </w:p>
        </w:tc>
        <w:tc>
          <w:tcPr>
            <w:tcW w:w="0" w:type="auto"/>
            <w:shd w:val="clear" w:color="auto" w:fill="FFFFFF"/>
            <w:tcMar>
              <w:top w:w="120" w:type="dxa"/>
              <w:left w:w="75" w:type="dxa"/>
              <w:bottom w:w="120" w:type="dxa"/>
              <w:right w:w="75" w:type="dxa"/>
            </w:tcMar>
            <w:vAlign w:val="center"/>
            <w:hideMark/>
          </w:tcPr>
          <w:p w14:paraId="1BFD6BE4"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48 (8.8%)</w:t>
            </w:r>
          </w:p>
        </w:tc>
      </w:tr>
      <w:tr w:rsidR="009F34FA" w:rsidRPr="009F34FA" w14:paraId="045FBD94" w14:textId="77777777" w:rsidTr="00BE1DA7">
        <w:trPr>
          <w:trHeight w:val="57"/>
        </w:trPr>
        <w:tc>
          <w:tcPr>
            <w:tcW w:w="0" w:type="auto"/>
            <w:shd w:val="clear" w:color="auto" w:fill="FFFFFF"/>
            <w:tcMar>
              <w:top w:w="120" w:type="dxa"/>
              <w:left w:w="75" w:type="dxa"/>
              <w:bottom w:w="120" w:type="dxa"/>
              <w:right w:w="75" w:type="dxa"/>
            </w:tcMar>
            <w:vAlign w:val="center"/>
            <w:hideMark/>
          </w:tcPr>
          <w:p w14:paraId="59C2CBB6"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height</w:t>
            </w:r>
          </w:p>
        </w:tc>
        <w:tc>
          <w:tcPr>
            <w:tcW w:w="0" w:type="auto"/>
            <w:shd w:val="clear" w:color="auto" w:fill="FFFFFF"/>
            <w:tcMar>
              <w:top w:w="120" w:type="dxa"/>
              <w:left w:w="75" w:type="dxa"/>
              <w:bottom w:w="120" w:type="dxa"/>
              <w:right w:w="75" w:type="dxa"/>
            </w:tcMar>
            <w:vAlign w:val="center"/>
            <w:hideMark/>
          </w:tcPr>
          <w:p w14:paraId="210DDEA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170.2 (5.8)</w:t>
            </w:r>
          </w:p>
        </w:tc>
        <w:tc>
          <w:tcPr>
            <w:tcW w:w="0" w:type="auto"/>
            <w:shd w:val="clear" w:color="auto" w:fill="FFFFFF"/>
            <w:tcMar>
              <w:top w:w="120" w:type="dxa"/>
              <w:left w:w="75" w:type="dxa"/>
              <w:bottom w:w="120" w:type="dxa"/>
              <w:right w:w="75" w:type="dxa"/>
            </w:tcMar>
            <w:vAlign w:val="center"/>
            <w:hideMark/>
          </w:tcPr>
          <w:p w14:paraId="2C23AF32"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169.2 (5.9)</w:t>
            </w:r>
          </w:p>
        </w:tc>
        <w:tc>
          <w:tcPr>
            <w:tcW w:w="0" w:type="auto"/>
            <w:shd w:val="clear" w:color="auto" w:fill="FFFFFF"/>
            <w:tcMar>
              <w:top w:w="120" w:type="dxa"/>
              <w:left w:w="75" w:type="dxa"/>
              <w:bottom w:w="120" w:type="dxa"/>
              <w:right w:w="75" w:type="dxa"/>
            </w:tcMar>
            <w:vAlign w:val="center"/>
            <w:hideMark/>
          </w:tcPr>
          <w:p w14:paraId="7004D4AC"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170.6 (5.8)</w:t>
            </w:r>
          </w:p>
        </w:tc>
      </w:tr>
      <w:tr w:rsidR="009F34FA" w:rsidRPr="009F34FA" w14:paraId="389C1D51" w14:textId="77777777" w:rsidTr="00BE1DA7">
        <w:trPr>
          <w:trHeight w:val="57"/>
        </w:trPr>
        <w:tc>
          <w:tcPr>
            <w:tcW w:w="0" w:type="auto"/>
            <w:shd w:val="clear" w:color="auto" w:fill="FFFFFF"/>
            <w:tcMar>
              <w:top w:w="120" w:type="dxa"/>
              <w:left w:w="75" w:type="dxa"/>
              <w:bottom w:w="120" w:type="dxa"/>
              <w:right w:w="75" w:type="dxa"/>
            </w:tcMar>
            <w:vAlign w:val="center"/>
            <w:hideMark/>
          </w:tcPr>
          <w:p w14:paraId="67F88A3D"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weight</w:t>
            </w:r>
          </w:p>
        </w:tc>
        <w:tc>
          <w:tcPr>
            <w:tcW w:w="0" w:type="auto"/>
            <w:shd w:val="clear" w:color="auto" w:fill="FFFFFF"/>
            <w:tcMar>
              <w:top w:w="120" w:type="dxa"/>
              <w:left w:w="75" w:type="dxa"/>
              <w:bottom w:w="120" w:type="dxa"/>
              <w:right w:w="75" w:type="dxa"/>
            </w:tcMar>
            <w:vAlign w:val="center"/>
            <w:hideMark/>
          </w:tcPr>
          <w:p w14:paraId="44DC3E32"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80.1 (6.9)</w:t>
            </w:r>
          </w:p>
        </w:tc>
        <w:tc>
          <w:tcPr>
            <w:tcW w:w="0" w:type="auto"/>
            <w:shd w:val="clear" w:color="auto" w:fill="FFFFFF"/>
            <w:tcMar>
              <w:top w:w="120" w:type="dxa"/>
              <w:left w:w="75" w:type="dxa"/>
              <w:bottom w:w="120" w:type="dxa"/>
              <w:right w:w="75" w:type="dxa"/>
            </w:tcMar>
            <w:vAlign w:val="center"/>
            <w:hideMark/>
          </w:tcPr>
          <w:p w14:paraId="504ADD8E"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80.7 (6.8)</w:t>
            </w:r>
          </w:p>
        </w:tc>
        <w:tc>
          <w:tcPr>
            <w:tcW w:w="0" w:type="auto"/>
            <w:shd w:val="clear" w:color="auto" w:fill="FFFFFF"/>
            <w:tcMar>
              <w:top w:w="120" w:type="dxa"/>
              <w:left w:w="75" w:type="dxa"/>
              <w:bottom w:w="120" w:type="dxa"/>
              <w:right w:w="75" w:type="dxa"/>
            </w:tcMar>
            <w:vAlign w:val="center"/>
            <w:hideMark/>
          </w:tcPr>
          <w:p w14:paraId="63225ECF"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79.8 (7.0)</w:t>
            </w:r>
          </w:p>
        </w:tc>
      </w:tr>
      <w:tr w:rsidR="009F34FA" w:rsidRPr="009F34FA" w14:paraId="71B8A4F2" w14:textId="77777777" w:rsidTr="00BE1DA7">
        <w:trPr>
          <w:trHeight w:val="57"/>
        </w:trPr>
        <w:tc>
          <w:tcPr>
            <w:tcW w:w="0" w:type="auto"/>
            <w:shd w:val="clear" w:color="auto" w:fill="FFFFFF"/>
            <w:tcMar>
              <w:top w:w="120" w:type="dxa"/>
              <w:left w:w="75" w:type="dxa"/>
              <w:bottom w:w="120" w:type="dxa"/>
              <w:right w:w="75" w:type="dxa"/>
            </w:tcMar>
            <w:vAlign w:val="center"/>
            <w:hideMark/>
          </w:tcPr>
          <w:p w14:paraId="581D7867"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bmi</w:t>
            </w:r>
          </w:p>
        </w:tc>
        <w:tc>
          <w:tcPr>
            <w:tcW w:w="0" w:type="auto"/>
            <w:shd w:val="clear" w:color="auto" w:fill="FFFFFF"/>
            <w:tcMar>
              <w:top w:w="120" w:type="dxa"/>
              <w:left w:w="75" w:type="dxa"/>
              <w:bottom w:w="120" w:type="dxa"/>
              <w:right w:w="75" w:type="dxa"/>
            </w:tcMar>
            <w:vAlign w:val="center"/>
            <w:hideMark/>
          </w:tcPr>
          <w:p w14:paraId="7DA0E84C"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27.7 (2.7)</w:t>
            </w:r>
          </w:p>
        </w:tc>
        <w:tc>
          <w:tcPr>
            <w:tcW w:w="0" w:type="auto"/>
            <w:shd w:val="clear" w:color="auto" w:fill="FFFFFF"/>
            <w:tcMar>
              <w:top w:w="120" w:type="dxa"/>
              <w:left w:w="75" w:type="dxa"/>
              <w:bottom w:w="120" w:type="dxa"/>
              <w:right w:w="75" w:type="dxa"/>
            </w:tcMar>
            <w:vAlign w:val="center"/>
            <w:hideMark/>
          </w:tcPr>
          <w:p w14:paraId="20FCA67E"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28.3 (3.0)</w:t>
            </w:r>
          </w:p>
        </w:tc>
        <w:tc>
          <w:tcPr>
            <w:tcW w:w="0" w:type="auto"/>
            <w:shd w:val="clear" w:color="auto" w:fill="FFFFFF"/>
            <w:tcMar>
              <w:top w:w="120" w:type="dxa"/>
              <w:left w:w="75" w:type="dxa"/>
              <w:bottom w:w="120" w:type="dxa"/>
              <w:right w:w="75" w:type="dxa"/>
            </w:tcMar>
            <w:vAlign w:val="center"/>
            <w:hideMark/>
          </w:tcPr>
          <w:p w14:paraId="178C056B"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27.5 (2.5)</w:t>
            </w:r>
          </w:p>
        </w:tc>
      </w:tr>
      <w:tr w:rsidR="009F34FA" w:rsidRPr="009F34FA" w14:paraId="71A2D034" w14:textId="77777777" w:rsidTr="00BE1DA7">
        <w:trPr>
          <w:trHeight w:val="57"/>
        </w:trPr>
        <w:tc>
          <w:tcPr>
            <w:tcW w:w="0" w:type="auto"/>
            <w:shd w:val="clear" w:color="auto" w:fill="FFFFFF"/>
            <w:tcMar>
              <w:top w:w="120" w:type="dxa"/>
              <w:left w:w="75" w:type="dxa"/>
              <w:bottom w:w="120" w:type="dxa"/>
              <w:right w:w="75" w:type="dxa"/>
            </w:tcMar>
            <w:vAlign w:val="center"/>
            <w:hideMark/>
          </w:tcPr>
          <w:p w14:paraId="539CD844"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diabetes</w:t>
            </w:r>
          </w:p>
        </w:tc>
        <w:tc>
          <w:tcPr>
            <w:tcW w:w="0" w:type="auto"/>
            <w:shd w:val="clear" w:color="auto" w:fill="FFFFFF"/>
            <w:tcMar>
              <w:top w:w="120" w:type="dxa"/>
              <w:left w:w="75" w:type="dxa"/>
              <w:bottom w:w="120" w:type="dxa"/>
              <w:right w:w="75" w:type="dxa"/>
            </w:tcMar>
            <w:vAlign w:val="center"/>
            <w:hideMark/>
          </w:tcPr>
          <w:p w14:paraId="43218863"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126 (16%)</w:t>
            </w:r>
          </w:p>
        </w:tc>
        <w:tc>
          <w:tcPr>
            <w:tcW w:w="0" w:type="auto"/>
            <w:shd w:val="clear" w:color="auto" w:fill="FFFFFF"/>
            <w:tcMar>
              <w:top w:w="120" w:type="dxa"/>
              <w:left w:w="75" w:type="dxa"/>
              <w:bottom w:w="120" w:type="dxa"/>
              <w:right w:w="75" w:type="dxa"/>
            </w:tcMar>
            <w:vAlign w:val="center"/>
            <w:hideMark/>
          </w:tcPr>
          <w:p w14:paraId="787A1614"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53 (21%)</w:t>
            </w:r>
          </w:p>
        </w:tc>
        <w:tc>
          <w:tcPr>
            <w:tcW w:w="0" w:type="auto"/>
            <w:shd w:val="clear" w:color="auto" w:fill="FFFFFF"/>
            <w:tcMar>
              <w:top w:w="120" w:type="dxa"/>
              <w:left w:w="75" w:type="dxa"/>
              <w:bottom w:w="120" w:type="dxa"/>
              <w:right w:w="75" w:type="dxa"/>
            </w:tcMar>
            <w:vAlign w:val="center"/>
            <w:hideMark/>
          </w:tcPr>
          <w:p w14:paraId="7EADEE7B"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73 (13%)</w:t>
            </w:r>
          </w:p>
        </w:tc>
      </w:tr>
      <w:tr w:rsidR="009F34FA" w:rsidRPr="009F34FA" w14:paraId="623794A0" w14:textId="77777777" w:rsidTr="00BE1DA7">
        <w:trPr>
          <w:trHeight w:val="57"/>
        </w:trPr>
        <w:tc>
          <w:tcPr>
            <w:tcW w:w="0" w:type="auto"/>
            <w:shd w:val="clear" w:color="auto" w:fill="FFFFFF"/>
            <w:tcMar>
              <w:top w:w="120" w:type="dxa"/>
              <w:left w:w="75" w:type="dxa"/>
              <w:bottom w:w="120" w:type="dxa"/>
              <w:right w:w="75" w:type="dxa"/>
            </w:tcMar>
            <w:vAlign w:val="center"/>
            <w:hideMark/>
          </w:tcPr>
          <w:p w14:paraId="0E1A4DE9"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hypertension</w:t>
            </w:r>
          </w:p>
        </w:tc>
        <w:tc>
          <w:tcPr>
            <w:tcW w:w="0" w:type="auto"/>
            <w:shd w:val="clear" w:color="auto" w:fill="FFFFFF"/>
            <w:tcMar>
              <w:top w:w="120" w:type="dxa"/>
              <w:left w:w="75" w:type="dxa"/>
              <w:bottom w:w="120" w:type="dxa"/>
              <w:right w:w="75" w:type="dxa"/>
            </w:tcMar>
            <w:vAlign w:val="center"/>
            <w:hideMark/>
          </w:tcPr>
          <w:p w14:paraId="222B903B"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385 (48%)</w:t>
            </w:r>
          </w:p>
        </w:tc>
        <w:tc>
          <w:tcPr>
            <w:tcW w:w="0" w:type="auto"/>
            <w:shd w:val="clear" w:color="auto" w:fill="FFFFFF"/>
            <w:tcMar>
              <w:top w:w="120" w:type="dxa"/>
              <w:left w:w="75" w:type="dxa"/>
              <w:bottom w:w="120" w:type="dxa"/>
              <w:right w:w="75" w:type="dxa"/>
            </w:tcMar>
            <w:vAlign w:val="center"/>
            <w:hideMark/>
          </w:tcPr>
          <w:p w14:paraId="7C48DDD4"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153 (60%)</w:t>
            </w:r>
          </w:p>
        </w:tc>
        <w:tc>
          <w:tcPr>
            <w:tcW w:w="0" w:type="auto"/>
            <w:shd w:val="clear" w:color="auto" w:fill="FFFFFF"/>
            <w:tcMar>
              <w:top w:w="120" w:type="dxa"/>
              <w:left w:w="75" w:type="dxa"/>
              <w:bottom w:w="120" w:type="dxa"/>
              <w:right w:w="75" w:type="dxa"/>
            </w:tcMar>
            <w:vAlign w:val="center"/>
            <w:hideMark/>
          </w:tcPr>
          <w:p w14:paraId="12730947"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232 (43%)</w:t>
            </w:r>
          </w:p>
        </w:tc>
      </w:tr>
      <w:tr w:rsidR="009F34FA" w:rsidRPr="009F34FA" w14:paraId="04C1BB6F" w14:textId="77777777" w:rsidTr="00BE1DA7">
        <w:trPr>
          <w:trHeight w:val="57"/>
        </w:trPr>
        <w:tc>
          <w:tcPr>
            <w:tcW w:w="0" w:type="auto"/>
            <w:shd w:val="clear" w:color="auto" w:fill="FFFFFF"/>
            <w:tcMar>
              <w:top w:w="120" w:type="dxa"/>
              <w:left w:w="75" w:type="dxa"/>
              <w:bottom w:w="120" w:type="dxa"/>
              <w:right w:w="75" w:type="dxa"/>
            </w:tcMar>
            <w:vAlign w:val="center"/>
            <w:hideMark/>
          </w:tcPr>
          <w:p w14:paraId="094DA1EF"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SBP</w:t>
            </w:r>
          </w:p>
        </w:tc>
        <w:tc>
          <w:tcPr>
            <w:tcW w:w="0" w:type="auto"/>
            <w:shd w:val="clear" w:color="auto" w:fill="FFFFFF"/>
            <w:tcMar>
              <w:top w:w="120" w:type="dxa"/>
              <w:left w:w="75" w:type="dxa"/>
              <w:bottom w:w="120" w:type="dxa"/>
              <w:right w:w="75" w:type="dxa"/>
            </w:tcMar>
            <w:vAlign w:val="center"/>
            <w:hideMark/>
          </w:tcPr>
          <w:p w14:paraId="0249FF35"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130.1 (8.1)</w:t>
            </w:r>
          </w:p>
        </w:tc>
        <w:tc>
          <w:tcPr>
            <w:tcW w:w="0" w:type="auto"/>
            <w:shd w:val="clear" w:color="auto" w:fill="FFFFFF"/>
            <w:tcMar>
              <w:top w:w="120" w:type="dxa"/>
              <w:left w:w="75" w:type="dxa"/>
              <w:bottom w:w="120" w:type="dxa"/>
              <w:right w:w="75" w:type="dxa"/>
            </w:tcMar>
            <w:vAlign w:val="center"/>
            <w:hideMark/>
          </w:tcPr>
          <w:p w14:paraId="6BD03C43"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133.0 (7.2)</w:t>
            </w:r>
          </w:p>
        </w:tc>
        <w:tc>
          <w:tcPr>
            <w:tcW w:w="0" w:type="auto"/>
            <w:shd w:val="clear" w:color="auto" w:fill="FFFFFF"/>
            <w:tcMar>
              <w:top w:w="120" w:type="dxa"/>
              <w:left w:w="75" w:type="dxa"/>
              <w:bottom w:w="120" w:type="dxa"/>
              <w:right w:w="75" w:type="dxa"/>
            </w:tcMar>
            <w:vAlign w:val="center"/>
            <w:hideMark/>
          </w:tcPr>
          <w:p w14:paraId="2EA4D665"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128.7 (8.2)</w:t>
            </w:r>
          </w:p>
        </w:tc>
      </w:tr>
      <w:tr w:rsidR="009F34FA" w:rsidRPr="009F34FA" w14:paraId="3EECA7CA" w14:textId="77777777" w:rsidTr="00BE1DA7">
        <w:trPr>
          <w:trHeight w:val="57"/>
        </w:trPr>
        <w:tc>
          <w:tcPr>
            <w:tcW w:w="0" w:type="auto"/>
            <w:shd w:val="clear" w:color="auto" w:fill="FFFFFF"/>
            <w:tcMar>
              <w:top w:w="120" w:type="dxa"/>
              <w:left w:w="75" w:type="dxa"/>
              <w:bottom w:w="120" w:type="dxa"/>
              <w:right w:w="75" w:type="dxa"/>
            </w:tcMar>
            <w:vAlign w:val="center"/>
            <w:hideMark/>
          </w:tcPr>
          <w:p w14:paraId="17404387"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LDL</w:t>
            </w:r>
          </w:p>
        </w:tc>
        <w:tc>
          <w:tcPr>
            <w:tcW w:w="0" w:type="auto"/>
            <w:shd w:val="clear" w:color="auto" w:fill="FFFFFF"/>
            <w:tcMar>
              <w:top w:w="120" w:type="dxa"/>
              <w:left w:w="75" w:type="dxa"/>
              <w:bottom w:w="120" w:type="dxa"/>
              <w:right w:w="75" w:type="dxa"/>
            </w:tcMar>
            <w:vAlign w:val="center"/>
            <w:hideMark/>
          </w:tcPr>
          <w:p w14:paraId="176B605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109.0 (19.6)</w:t>
            </w:r>
          </w:p>
        </w:tc>
        <w:tc>
          <w:tcPr>
            <w:tcW w:w="0" w:type="auto"/>
            <w:shd w:val="clear" w:color="auto" w:fill="FFFFFF"/>
            <w:tcMar>
              <w:top w:w="120" w:type="dxa"/>
              <w:left w:w="75" w:type="dxa"/>
              <w:bottom w:w="120" w:type="dxa"/>
              <w:right w:w="75" w:type="dxa"/>
            </w:tcMar>
            <w:vAlign w:val="center"/>
            <w:hideMark/>
          </w:tcPr>
          <w:p w14:paraId="0D5BE2B1"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112.4 (18.8)</w:t>
            </w:r>
          </w:p>
        </w:tc>
        <w:tc>
          <w:tcPr>
            <w:tcW w:w="0" w:type="auto"/>
            <w:shd w:val="clear" w:color="auto" w:fill="FFFFFF"/>
            <w:tcMar>
              <w:top w:w="120" w:type="dxa"/>
              <w:left w:w="75" w:type="dxa"/>
              <w:bottom w:w="120" w:type="dxa"/>
              <w:right w:w="75" w:type="dxa"/>
            </w:tcMar>
            <w:vAlign w:val="center"/>
            <w:hideMark/>
          </w:tcPr>
          <w:p w14:paraId="1914682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107.5 (19.8)</w:t>
            </w:r>
          </w:p>
        </w:tc>
      </w:tr>
      <w:tr w:rsidR="00BE1DA7" w:rsidRPr="009F34FA" w14:paraId="035010B2" w14:textId="77777777" w:rsidTr="00BE1DA7">
        <w:trPr>
          <w:trHeight w:val="57"/>
        </w:trPr>
        <w:tc>
          <w:tcPr>
            <w:tcW w:w="0" w:type="auto"/>
            <w:gridSpan w:val="4"/>
            <w:shd w:val="clear" w:color="auto" w:fill="FFFFFF"/>
            <w:tcMar>
              <w:top w:w="120" w:type="dxa"/>
              <w:left w:w="75" w:type="dxa"/>
              <w:bottom w:w="120" w:type="dxa"/>
              <w:right w:w="75" w:type="dxa"/>
            </w:tcMar>
            <w:vAlign w:val="center"/>
            <w:hideMark/>
          </w:tcPr>
          <w:p w14:paraId="679CBEC9" w14:textId="2B4696AF" w:rsidR="00BE1DA7" w:rsidRPr="009F34FA" w:rsidRDefault="00BE1DA7" w:rsidP="00BE1DA7">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b/>
                <w:bCs/>
                <w:color w:val="333333"/>
                <w:kern w:val="0"/>
                <w:sz w:val="20"/>
                <w:szCs w:val="20"/>
                <w14:ligatures w14:val="none"/>
              </w:rPr>
              <w:t>vaccine</w:t>
            </w:r>
          </w:p>
        </w:tc>
      </w:tr>
      <w:tr w:rsidR="009F34FA" w:rsidRPr="009F34FA" w14:paraId="50A286B7" w14:textId="77777777" w:rsidTr="00BE1DA7">
        <w:trPr>
          <w:trHeight w:val="57"/>
        </w:trPr>
        <w:tc>
          <w:tcPr>
            <w:tcW w:w="0" w:type="auto"/>
            <w:shd w:val="clear" w:color="auto" w:fill="FFFFFF"/>
            <w:tcMar>
              <w:top w:w="120" w:type="dxa"/>
              <w:left w:w="75" w:type="dxa"/>
              <w:bottom w:w="120" w:type="dxa"/>
              <w:right w:w="75" w:type="dxa"/>
            </w:tcMar>
            <w:vAlign w:val="center"/>
            <w:hideMark/>
          </w:tcPr>
          <w:p w14:paraId="319D30D1"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Unvaccinated</w:t>
            </w:r>
          </w:p>
        </w:tc>
        <w:tc>
          <w:tcPr>
            <w:tcW w:w="0" w:type="auto"/>
            <w:shd w:val="clear" w:color="auto" w:fill="FFFFFF"/>
            <w:tcMar>
              <w:top w:w="120" w:type="dxa"/>
              <w:left w:w="75" w:type="dxa"/>
              <w:bottom w:w="120" w:type="dxa"/>
              <w:right w:w="75" w:type="dxa"/>
            </w:tcMar>
            <w:vAlign w:val="center"/>
            <w:hideMark/>
          </w:tcPr>
          <w:p w14:paraId="76668596"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323 (40%)</w:t>
            </w:r>
          </w:p>
        </w:tc>
        <w:tc>
          <w:tcPr>
            <w:tcW w:w="0" w:type="auto"/>
            <w:shd w:val="clear" w:color="auto" w:fill="FFFFFF"/>
            <w:tcMar>
              <w:top w:w="120" w:type="dxa"/>
              <w:left w:w="75" w:type="dxa"/>
              <w:bottom w:w="120" w:type="dxa"/>
              <w:right w:w="75" w:type="dxa"/>
            </w:tcMar>
            <w:vAlign w:val="center"/>
            <w:hideMark/>
          </w:tcPr>
          <w:p w14:paraId="561FBD28"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207 (81%)</w:t>
            </w:r>
          </w:p>
        </w:tc>
        <w:tc>
          <w:tcPr>
            <w:tcW w:w="0" w:type="auto"/>
            <w:shd w:val="clear" w:color="auto" w:fill="FFFFFF"/>
            <w:tcMar>
              <w:top w:w="120" w:type="dxa"/>
              <w:left w:w="75" w:type="dxa"/>
              <w:bottom w:w="120" w:type="dxa"/>
              <w:right w:w="75" w:type="dxa"/>
            </w:tcMar>
            <w:vAlign w:val="center"/>
            <w:hideMark/>
          </w:tcPr>
          <w:p w14:paraId="1AA89681"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116 (21%)</w:t>
            </w:r>
          </w:p>
        </w:tc>
      </w:tr>
      <w:tr w:rsidR="009F34FA" w:rsidRPr="009F34FA" w14:paraId="2E9B8615" w14:textId="77777777" w:rsidTr="00BE1DA7">
        <w:trPr>
          <w:trHeight w:val="57"/>
        </w:trPr>
        <w:tc>
          <w:tcPr>
            <w:tcW w:w="0" w:type="auto"/>
            <w:shd w:val="clear" w:color="auto" w:fill="FFFFFF"/>
            <w:tcMar>
              <w:top w:w="120" w:type="dxa"/>
              <w:left w:w="75" w:type="dxa"/>
              <w:bottom w:w="120" w:type="dxa"/>
              <w:right w:w="75" w:type="dxa"/>
            </w:tcMar>
            <w:vAlign w:val="center"/>
            <w:hideMark/>
          </w:tcPr>
          <w:p w14:paraId="0616E8A2" w14:textId="77777777" w:rsidR="009F34FA" w:rsidRPr="009F34FA" w:rsidRDefault="009F34FA" w:rsidP="00CD2204">
            <w:pPr>
              <w:spacing w:after="0" w:line="240" w:lineRule="auto"/>
              <w:ind w:left="150" w:right="150"/>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    Vaccinated</w:t>
            </w:r>
          </w:p>
        </w:tc>
        <w:tc>
          <w:tcPr>
            <w:tcW w:w="0" w:type="auto"/>
            <w:shd w:val="clear" w:color="auto" w:fill="FFFFFF"/>
            <w:tcMar>
              <w:top w:w="120" w:type="dxa"/>
              <w:left w:w="75" w:type="dxa"/>
              <w:bottom w:w="120" w:type="dxa"/>
              <w:right w:w="75" w:type="dxa"/>
            </w:tcMar>
            <w:vAlign w:val="center"/>
            <w:hideMark/>
          </w:tcPr>
          <w:p w14:paraId="37E753A3"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477 (60%)</w:t>
            </w:r>
          </w:p>
        </w:tc>
        <w:tc>
          <w:tcPr>
            <w:tcW w:w="0" w:type="auto"/>
            <w:shd w:val="clear" w:color="auto" w:fill="FFFFFF"/>
            <w:tcMar>
              <w:top w:w="120" w:type="dxa"/>
              <w:left w:w="75" w:type="dxa"/>
              <w:bottom w:w="120" w:type="dxa"/>
              <w:right w:w="75" w:type="dxa"/>
            </w:tcMar>
            <w:vAlign w:val="center"/>
            <w:hideMark/>
          </w:tcPr>
          <w:p w14:paraId="40806450"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49 (19%)</w:t>
            </w:r>
          </w:p>
        </w:tc>
        <w:tc>
          <w:tcPr>
            <w:tcW w:w="0" w:type="auto"/>
            <w:shd w:val="clear" w:color="auto" w:fill="FFFFFF"/>
            <w:tcMar>
              <w:top w:w="120" w:type="dxa"/>
              <w:left w:w="75" w:type="dxa"/>
              <w:bottom w:w="120" w:type="dxa"/>
              <w:right w:w="75" w:type="dxa"/>
            </w:tcMar>
            <w:vAlign w:val="center"/>
            <w:hideMark/>
          </w:tcPr>
          <w:p w14:paraId="18953193"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428 (79%)</w:t>
            </w:r>
          </w:p>
        </w:tc>
      </w:tr>
      <w:tr w:rsidR="009F34FA" w:rsidRPr="009F34FA" w14:paraId="6D79B6A0" w14:textId="77777777" w:rsidTr="00BE1DA7">
        <w:trPr>
          <w:trHeight w:val="57"/>
        </w:trPr>
        <w:tc>
          <w:tcPr>
            <w:tcW w:w="0" w:type="auto"/>
            <w:shd w:val="clear" w:color="auto" w:fill="FFFFFF"/>
            <w:tcMar>
              <w:top w:w="120" w:type="dxa"/>
              <w:left w:w="75" w:type="dxa"/>
              <w:bottom w:w="120" w:type="dxa"/>
              <w:right w:w="75" w:type="dxa"/>
            </w:tcMar>
            <w:vAlign w:val="center"/>
            <w:hideMark/>
          </w:tcPr>
          <w:p w14:paraId="1F739784" w14:textId="77777777" w:rsidR="009F34FA" w:rsidRPr="009F34FA" w:rsidRDefault="009F34FA" w:rsidP="00CD2204">
            <w:pPr>
              <w:spacing w:after="0" w:line="240" w:lineRule="auto"/>
              <w:ind w:left="150" w:right="150"/>
              <w:rPr>
                <w:rFonts w:ascii="Arial" w:eastAsia="Times New Roman" w:hAnsi="Arial" w:cs="Arial"/>
                <w:b/>
                <w:bCs/>
                <w:color w:val="333333"/>
                <w:kern w:val="0"/>
                <w:sz w:val="20"/>
                <w:szCs w:val="20"/>
                <w14:ligatures w14:val="none"/>
              </w:rPr>
            </w:pPr>
            <w:r w:rsidRPr="009F34FA">
              <w:rPr>
                <w:rFonts w:ascii="Arial" w:eastAsia="Times New Roman" w:hAnsi="Arial" w:cs="Arial"/>
                <w:b/>
                <w:bCs/>
                <w:color w:val="333333"/>
                <w:kern w:val="0"/>
                <w:sz w:val="20"/>
                <w:szCs w:val="20"/>
                <w14:ligatures w14:val="none"/>
              </w:rPr>
              <w:t>depression</w:t>
            </w:r>
          </w:p>
        </w:tc>
        <w:tc>
          <w:tcPr>
            <w:tcW w:w="0" w:type="auto"/>
            <w:shd w:val="clear" w:color="auto" w:fill="FFFFFF"/>
            <w:tcMar>
              <w:top w:w="120" w:type="dxa"/>
              <w:left w:w="75" w:type="dxa"/>
              <w:bottom w:w="120" w:type="dxa"/>
              <w:right w:w="75" w:type="dxa"/>
            </w:tcMar>
            <w:vAlign w:val="center"/>
            <w:hideMark/>
          </w:tcPr>
          <w:p w14:paraId="30886C2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7.0 (2.0)</w:t>
            </w:r>
          </w:p>
        </w:tc>
        <w:tc>
          <w:tcPr>
            <w:tcW w:w="0" w:type="auto"/>
            <w:shd w:val="clear" w:color="auto" w:fill="FFFFFF"/>
            <w:tcMar>
              <w:top w:w="120" w:type="dxa"/>
              <w:left w:w="75" w:type="dxa"/>
              <w:bottom w:w="120" w:type="dxa"/>
              <w:right w:w="75" w:type="dxa"/>
            </w:tcMar>
            <w:vAlign w:val="center"/>
            <w:hideMark/>
          </w:tcPr>
          <w:p w14:paraId="7CAA2620"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6.9 (2.0)</w:t>
            </w:r>
          </w:p>
        </w:tc>
        <w:tc>
          <w:tcPr>
            <w:tcW w:w="0" w:type="auto"/>
            <w:shd w:val="clear" w:color="auto" w:fill="FFFFFF"/>
            <w:tcMar>
              <w:top w:w="120" w:type="dxa"/>
              <w:left w:w="75" w:type="dxa"/>
              <w:bottom w:w="120" w:type="dxa"/>
              <w:right w:w="75" w:type="dxa"/>
            </w:tcMar>
            <w:vAlign w:val="center"/>
            <w:hideMark/>
          </w:tcPr>
          <w:p w14:paraId="26859389" w14:textId="77777777" w:rsidR="009F34FA" w:rsidRPr="009F34FA" w:rsidRDefault="009F34FA" w:rsidP="00CD2204">
            <w:pPr>
              <w:spacing w:after="0" w:line="240" w:lineRule="auto"/>
              <w:ind w:left="150" w:right="150"/>
              <w:jc w:val="center"/>
              <w:rPr>
                <w:rFonts w:ascii="Arial" w:eastAsia="Times New Roman" w:hAnsi="Arial" w:cs="Arial"/>
                <w:color w:val="333333"/>
                <w:kern w:val="0"/>
                <w:sz w:val="20"/>
                <w:szCs w:val="20"/>
                <w14:ligatures w14:val="none"/>
              </w:rPr>
            </w:pPr>
            <w:r w:rsidRPr="009F34FA">
              <w:rPr>
                <w:rFonts w:ascii="Arial" w:eastAsia="Times New Roman" w:hAnsi="Arial" w:cs="Arial"/>
                <w:color w:val="333333"/>
                <w:kern w:val="0"/>
                <w:sz w:val="20"/>
                <w:szCs w:val="20"/>
                <w14:ligatures w14:val="none"/>
              </w:rPr>
              <w:t>7.1 (2.0)</w:t>
            </w:r>
          </w:p>
        </w:tc>
      </w:tr>
      <w:tr w:rsidR="009F34FA" w:rsidRPr="009F34FA" w14:paraId="09EEF59A" w14:textId="77777777" w:rsidTr="00BE1DA7">
        <w:trPr>
          <w:trHeight w:val="57"/>
        </w:trPr>
        <w:tc>
          <w:tcPr>
            <w:tcW w:w="0" w:type="auto"/>
            <w:gridSpan w:val="4"/>
            <w:shd w:val="clear" w:color="auto" w:fill="FFFFFF"/>
            <w:tcMar>
              <w:top w:w="60" w:type="dxa"/>
              <w:left w:w="75" w:type="dxa"/>
              <w:bottom w:w="60" w:type="dxa"/>
              <w:right w:w="75" w:type="dxa"/>
            </w:tcMar>
            <w:vAlign w:val="center"/>
            <w:hideMark/>
          </w:tcPr>
          <w:p w14:paraId="715FF961" w14:textId="77777777" w:rsidR="009F34FA" w:rsidRPr="009F34FA" w:rsidRDefault="009F34FA" w:rsidP="00CD2204">
            <w:pPr>
              <w:spacing w:after="0" w:line="240" w:lineRule="auto"/>
              <w:rPr>
                <w:rFonts w:ascii="Arial" w:eastAsia="Times New Roman" w:hAnsi="Arial" w:cs="Arial"/>
                <w:color w:val="333333"/>
                <w:kern w:val="0"/>
                <w:sz w:val="20"/>
                <w:szCs w:val="20"/>
                <w14:ligatures w14:val="none"/>
              </w:rPr>
            </w:pPr>
            <w:r w:rsidRPr="009F34FA">
              <w:rPr>
                <w:rFonts w:ascii="Arial" w:eastAsia="Times New Roman" w:hAnsi="Arial" w:cs="Arial"/>
                <w:i/>
                <w:iCs/>
                <w:color w:val="333333"/>
                <w:kern w:val="0"/>
                <w:sz w:val="20"/>
                <w:szCs w:val="20"/>
                <w:vertAlign w:val="superscript"/>
                <w14:ligatures w14:val="none"/>
              </w:rPr>
              <w:t>1</w:t>
            </w:r>
            <w:r w:rsidRPr="009F34FA">
              <w:rPr>
                <w:rFonts w:ascii="Arial" w:eastAsia="Times New Roman" w:hAnsi="Arial" w:cs="Arial"/>
                <w:color w:val="333333"/>
                <w:kern w:val="0"/>
                <w:sz w:val="20"/>
                <w:szCs w:val="20"/>
                <w14:ligatures w14:val="none"/>
              </w:rPr>
              <w:t> Mean (SD); n (%)</w:t>
            </w:r>
          </w:p>
        </w:tc>
      </w:tr>
    </w:tbl>
    <w:p w14:paraId="7898407B" w14:textId="4E4C3B25" w:rsidR="00DC2649" w:rsidRPr="00DC2649" w:rsidRDefault="00DC2649" w:rsidP="00CD2204">
      <w:pPr>
        <w:shd w:val="clear" w:color="auto" w:fill="FFFFFF"/>
        <w:spacing w:after="0" w:line="240" w:lineRule="auto"/>
        <w:rPr>
          <w:rFonts w:ascii="Times New Roman" w:eastAsia="Times New Roman" w:hAnsi="Times New Roman" w:cs="Times New Roman"/>
          <w:color w:val="000000" w:themeColor="text1"/>
          <w:kern w:val="0"/>
          <w14:ligatures w14:val="none"/>
        </w:rPr>
      </w:pPr>
    </w:p>
    <w:p w14:paraId="03EEB0B0" w14:textId="707EEBC8" w:rsid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1.</w:t>
      </w:r>
      <w:r w:rsidRPr="00DC2649">
        <w:rPr>
          <w:rFonts w:ascii="Times New Roman" w:eastAsia="Times New Roman" w:hAnsi="Times New Roman" w:cs="Times New Roman"/>
          <w:color w:val="000000" w:themeColor="text1"/>
          <w:kern w:val="0"/>
          <w14:ligatures w14:val="none"/>
        </w:rPr>
        <w:t> Boxplots of continuous predictors stratified by COVID-19 severity status (severe vs. not severe) in the training set.</w:t>
      </w:r>
    </w:p>
    <w:p w14:paraId="5F6BCED2" w14:textId="28C86E77" w:rsidR="00843449" w:rsidRPr="00DC2649" w:rsidRDefault="001146FA"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2C42A4EC" wp14:editId="32553B25">
            <wp:extent cx="5716162" cy="3983603"/>
            <wp:effectExtent l="0" t="0" r="0" b="4445"/>
            <wp:docPr id="1855830360" name="Picture 1" descr="A diagram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0360" name="Picture 1" descr="A diagram of different sizes and shap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2017" cy="3994653"/>
                    </a:xfrm>
                    <a:prstGeom prst="rect">
                      <a:avLst/>
                    </a:prstGeom>
                  </pic:spPr>
                </pic:pic>
              </a:graphicData>
            </a:graphic>
          </wp:inline>
        </w:drawing>
      </w:r>
    </w:p>
    <w:p w14:paraId="64534159" w14:textId="6AFCA78B"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2.</w:t>
      </w:r>
      <w:r w:rsidRPr="00DC2649">
        <w:rPr>
          <w:rFonts w:ascii="Times New Roman" w:eastAsia="Times New Roman" w:hAnsi="Times New Roman" w:cs="Times New Roman"/>
          <w:color w:val="000000" w:themeColor="text1"/>
          <w:kern w:val="0"/>
          <w14:ligatures w14:val="none"/>
        </w:rPr>
        <w:t xml:space="preserve"> Proportional bar charts of categorical predictors stratified by COVID-19 severity status in the training set. </w:t>
      </w:r>
    </w:p>
    <w:p w14:paraId="4C23EB67" w14:textId="1994FDF9" w:rsidR="00EC1684" w:rsidRDefault="00097B57"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lastRenderedPageBreak/>
        <w:drawing>
          <wp:inline distT="0" distB="0" distL="0" distR="0" wp14:anchorId="03DFF5A1" wp14:editId="077780B0">
            <wp:extent cx="5732925" cy="3951798"/>
            <wp:effectExtent l="0" t="0" r="0" b="0"/>
            <wp:docPr id="507642817" name="Picture 2"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2817" name="Picture 2" descr="A graph of different colored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47568" cy="3961891"/>
                    </a:xfrm>
                    <a:prstGeom prst="rect">
                      <a:avLst/>
                    </a:prstGeom>
                  </pic:spPr>
                </pic:pic>
              </a:graphicData>
            </a:graphic>
          </wp:inline>
        </w:drawing>
      </w:r>
    </w:p>
    <w:p w14:paraId="16CEEC15" w14:textId="3649E721"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3.</w:t>
      </w:r>
      <w:r w:rsidRPr="00DC2649">
        <w:rPr>
          <w:rFonts w:ascii="Times New Roman" w:eastAsia="Times New Roman" w:hAnsi="Times New Roman" w:cs="Times New Roman"/>
          <w:color w:val="000000" w:themeColor="text1"/>
          <w:kern w:val="0"/>
          <w14:ligatures w14:val="none"/>
        </w:rPr>
        <w:t xml:space="preserve"> Cross-validation tuning plot for the elastic net model. Each line represents a mixing parameter value (alpha), and the x-axis shows the log-transformed regularization parameter (lambda). </w:t>
      </w:r>
    </w:p>
    <w:p w14:paraId="1B43AE48" w14:textId="2580D48B" w:rsidR="00DC2649" w:rsidRPr="00DC2649" w:rsidRDefault="006C6E6E"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5A66A140" wp14:editId="2642D29C">
            <wp:extent cx="5727700" cy="3966210"/>
            <wp:effectExtent l="0" t="0" r="0" b="0"/>
            <wp:docPr id="1160399492" name="Picture 3"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99492" name="Picture 3" descr="A graph with a line and a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27700" cy="3966210"/>
                    </a:xfrm>
                    <a:prstGeom prst="rect">
                      <a:avLst/>
                    </a:prstGeom>
                  </pic:spPr>
                </pic:pic>
              </a:graphicData>
            </a:graphic>
          </wp:inline>
        </w:drawing>
      </w:r>
    </w:p>
    <w:p w14:paraId="0E81D308" w14:textId="71A948F5" w:rsid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lastRenderedPageBreak/>
        <w:t>Figure 4.</w:t>
      </w:r>
      <w:r w:rsidRPr="00DC2649">
        <w:rPr>
          <w:rFonts w:ascii="Times New Roman" w:eastAsia="Times New Roman" w:hAnsi="Times New Roman" w:cs="Times New Roman"/>
          <w:color w:val="000000" w:themeColor="text1"/>
          <w:kern w:val="0"/>
          <w14:ligatures w14:val="none"/>
        </w:rPr>
        <w:t> Cross-validation tuning plot for the AdaBoost model. Panels correspond to learning rate (shrinkage) values. Lines represent maximum tree depth (interaction.depth). The x-axis shows number of boosting iteration</w:t>
      </w:r>
      <w:r w:rsidR="00516FD0">
        <w:rPr>
          <w:rFonts w:ascii="Times New Roman" w:eastAsia="Times New Roman" w:hAnsi="Times New Roman" w:cs="Times New Roman" w:hint="eastAsia"/>
          <w:color w:val="000000" w:themeColor="text1"/>
          <w:kern w:val="0"/>
          <w14:ligatures w14:val="none"/>
        </w:rPr>
        <w:t>s</w:t>
      </w:r>
      <w:r w:rsidRPr="00DC2649">
        <w:rPr>
          <w:rFonts w:ascii="Times New Roman" w:eastAsia="Times New Roman" w:hAnsi="Times New Roman" w:cs="Times New Roman"/>
          <w:color w:val="000000" w:themeColor="text1"/>
          <w:kern w:val="0"/>
          <w14:ligatures w14:val="none"/>
        </w:rPr>
        <w:t>.</w:t>
      </w:r>
    </w:p>
    <w:p w14:paraId="6AE8E574" w14:textId="3501041D" w:rsidR="00516FD0" w:rsidRPr="00DC2649" w:rsidRDefault="00516FD0" w:rsidP="00DC2649">
      <w:pPr>
        <w:shd w:val="clear" w:color="auto" w:fill="FFFFFF"/>
        <w:spacing w:after="150" w:line="240" w:lineRule="auto"/>
        <w:rPr>
          <w:rFonts w:ascii="Times New Roman" w:eastAsia="Times New Roman" w:hAnsi="Times New Roman" w:cs="Times New Roman" w:hint="eastAsia"/>
          <w:color w:val="000000" w:themeColor="text1"/>
          <w:kern w:val="0"/>
          <w14:ligatures w14:val="none"/>
        </w:rPr>
      </w:pPr>
      <w:r>
        <w:rPr>
          <w:rFonts w:ascii="Times New Roman" w:eastAsia="Times New Roman" w:hAnsi="Times New Roman" w:cs="Times New Roman" w:hint="eastAsia"/>
          <w:noProof/>
          <w:color w:val="000000" w:themeColor="text1"/>
          <w:kern w:val="0"/>
        </w:rPr>
        <w:drawing>
          <wp:inline distT="0" distB="0" distL="0" distR="0" wp14:anchorId="0307AF25" wp14:editId="7523A5DA">
            <wp:extent cx="5727700" cy="4082415"/>
            <wp:effectExtent l="0" t="0" r="0" b="0"/>
            <wp:docPr id="947097438"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97438" name="Picture 4" descr="A graph of different colored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27700" cy="4082415"/>
                    </a:xfrm>
                    <a:prstGeom prst="rect">
                      <a:avLst/>
                    </a:prstGeom>
                  </pic:spPr>
                </pic:pic>
              </a:graphicData>
            </a:graphic>
          </wp:inline>
        </w:drawing>
      </w:r>
    </w:p>
    <w:p w14:paraId="28668142"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5.</w:t>
      </w:r>
      <w:r w:rsidRPr="00DC2649">
        <w:rPr>
          <w:rFonts w:ascii="Times New Roman" w:eastAsia="Times New Roman" w:hAnsi="Times New Roman" w:cs="Times New Roman"/>
          <w:color w:val="000000" w:themeColor="text1"/>
          <w:kern w:val="0"/>
          <w14:ligatures w14:val="none"/>
        </w:rPr>
        <w:t> Cross-validation tuning plot for the SVM radial kernel model. Lines represent sigma (kernel bandwidth) values and the x-axis shows the cost parameter on a log scale. The optimal combination (C = 1096.6, sigma = 0.000335, highlighted by diamond) is interior to the grid.</w:t>
      </w:r>
    </w:p>
    <w:p w14:paraId="7F7992B8"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[Insert Figure 5 here — ggplot(svmr.fit)]</w:t>
      </w:r>
    </w:p>
    <w:p w14:paraId="75FEA390"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6.</w:t>
      </w:r>
      <w:r w:rsidRPr="00DC2649">
        <w:rPr>
          <w:rFonts w:ascii="Times New Roman" w:eastAsia="Times New Roman" w:hAnsi="Times New Roman" w:cs="Times New Roman"/>
          <w:color w:val="000000" w:themeColor="text1"/>
          <w:kern w:val="0"/>
          <w14:ligatures w14:val="none"/>
        </w:rPr>
        <w:t> Box-and-whisker plots comparing cross-validated AUC (ROC), sensitivity (Sens), and specificity (Spec) across all four models from 10-fold cross-validation resamples. The dot represents the mean; the box represents the interquartile range.</w:t>
      </w:r>
    </w:p>
    <w:p w14:paraId="44D5BBC8"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[Insert Figure 6 here — bwplot(resamp)]</w:t>
      </w:r>
    </w:p>
    <w:p w14:paraId="5691B3DB"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7.</w:t>
      </w:r>
      <w:r w:rsidRPr="00DC2649">
        <w:rPr>
          <w:rFonts w:ascii="Times New Roman" w:eastAsia="Times New Roman" w:hAnsi="Times New Roman" w:cs="Times New Roman"/>
          <w:color w:val="000000" w:themeColor="text1"/>
          <w:kern w:val="0"/>
          <w14:ligatures w14:val="none"/>
        </w:rPr>
        <w:t> ROC curves for all four models evaluated on the held-out test set (n = 200). AUC values are reported in the legend. The four curves overlap substantially, indicating equivalent discriminative performance across models.</w:t>
      </w:r>
    </w:p>
    <w:p w14:paraId="2EADCE59"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[Insert Figure 7 here — overlaid ROC curves]</w:t>
      </w:r>
    </w:p>
    <w:p w14:paraId="5CD1F47D"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8.</w:t>
      </w:r>
      <w:r w:rsidRPr="00DC2649">
        <w:rPr>
          <w:rFonts w:ascii="Times New Roman" w:eastAsia="Times New Roman" w:hAnsi="Times New Roman" w:cs="Times New Roman"/>
          <w:color w:val="000000" w:themeColor="text1"/>
          <w:kern w:val="0"/>
          <w14:ligatures w14:val="none"/>
        </w:rPr>
        <w:t> Variable importance from the logistic regression model based on absolute z-statistics. Variables are ranked from most to least important.</w:t>
      </w:r>
    </w:p>
    <w:p w14:paraId="7D9D362C"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[Insert Figure 8 here — vip(model.glm)]</w:t>
      </w:r>
    </w:p>
    <w:p w14:paraId="1334433A"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9.</w:t>
      </w:r>
      <w:r w:rsidRPr="00DC2649">
        <w:rPr>
          <w:rFonts w:ascii="Times New Roman" w:eastAsia="Times New Roman" w:hAnsi="Times New Roman" w:cs="Times New Roman"/>
          <w:color w:val="000000" w:themeColor="text1"/>
          <w:kern w:val="0"/>
          <w14:ligatures w14:val="none"/>
        </w:rPr>
        <w:t> Variable importance from the AdaBoost model based on relative influence — the percentage reduction in loss attributable to each predictor across all boosting iterations.</w:t>
      </w:r>
    </w:p>
    <w:p w14:paraId="5703CAAE"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[Insert Figure 9 here — summary(gbmA.fit$finalModel)]</w:t>
      </w:r>
    </w:p>
    <w:p w14:paraId="47836168"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b/>
          <w:bCs/>
          <w:color w:val="000000" w:themeColor="text1"/>
          <w:kern w:val="0"/>
          <w14:ligatures w14:val="none"/>
        </w:rPr>
        <w:t>Figure 10.</w:t>
      </w:r>
      <w:r w:rsidRPr="00DC2649">
        <w:rPr>
          <w:rFonts w:ascii="Times New Roman" w:eastAsia="Times New Roman" w:hAnsi="Times New Roman" w:cs="Times New Roman"/>
          <w:color w:val="000000" w:themeColor="text1"/>
          <w:kern w:val="0"/>
          <w14:ligatures w14:val="none"/>
        </w:rPr>
        <w:t> Partial dependence plots for the three most important predictors — vaccination status (top row), systolic blood pressure (middle row), and BMI (bottom row) — from logistic regression (left column) and AdaBoost (right column). The y-axis (yhat) represents the average predicted probability of severe COVID-19 infection. Rug marks indicate the distribution of observed predictor values in the training set.</w:t>
      </w:r>
    </w:p>
    <w:p w14:paraId="163CB7B6" w14:textId="77777777" w:rsidR="00DC2649" w:rsidRPr="00DC2649" w:rsidRDefault="00DC2649" w:rsidP="00DC2649">
      <w:pPr>
        <w:shd w:val="clear" w:color="auto" w:fill="FFFFFF"/>
        <w:spacing w:after="150" w:line="240" w:lineRule="auto"/>
        <w:rPr>
          <w:rFonts w:ascii="Times New Roman" w:eastAsia="Times New Roman" w:hAnsi="Times New Roman" w:cs="Times New Roman"/>
          <w:color w:val="000000" w:themeColor="text1"/>
          <w:kern w:val="0"/>
          <w14:ligatures w14:val="none"/>
        </w:rPr>
      </w:pPr>
      <w:r w:rsidRPr="00DC2649">
        <w:rPr>
          <w:rFonts w:ascii="Times New Roman" w:eastAsia="Times New Roman" w:hAnsi="Times New Roman" w:cs="Times New Roman"/>
          <w:color w:val="000000" w:themeColor="text1"/>
          <w:kern w:val="0"/>
          <w14:ligatures w14:val="none"/>
        </w:rPr>
        <w:t>[Insert Figure 10 here — gridExtra PDP figure]</w:t>
      </w:r>
    </w:p>
    <w:p w14:paraId="5662CB0D" w14:textId="7C778483" w:rsidR="00444C17" w:rsidRPr="00E43FF4" w:rsidRDefault="00444C17" w:rsidP="00DC2649">
      <w:pPr>
        <w:rPr>
          <w:rFonts w:ascii="Times New Roman" w:hAnsi="Times New Roman" w:cs="Times New Roman"/>
          <w:color w:val="000000" w:themeColor="text1"/>
        </w:rPr>
      </w:pPr>
    </w:p>
    <w:sectPr w:rsidR="00444C17" w:rsidRPr="00E43FF4" w:rsidSect="007D489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02"/>
    <w:rsid w:val="00027EEC"/>
    <w:rsid w:val="00034CAF"/>
    <w:rsid w:val="00055B82"/>
    <w:rsid w:val="00097B57"/>
    <w:rsid w:val="000D6A13"/>
    <w:rsid w:val="000E0E27"/>
    <w:rsid w:val="000E3856"/>
    <w:rsid w:val="001146FA"/>
    <w:rsid w:val="001211C5"/>
    <w:rsid w:val="00132972"/>
    <w:rsid w:val="00145E10"/>
    <w:rsid w:val="0015371D"/>
    <w:rsid w:val="0018080E"/>
    <w:rsid w:val="001C1E23"/>
    <w:rsid w:val="001E1087"/>
    <w:rsid w:val="001F3E9F"/>
    <w:rsid w:val="00211C08"/>
    <w:rsid w:val="00212142"/>
    <w:rsid w:val="00234888"/>
    <w:rsid w:val="00297703"/>
    <w:rsid w:val="002B52E7"/>
    <w:rsid w:val="002B66EC"/>
    <w:rsid w:val="002E22E6"/>
    <w:rsid w:val="002F46A2"/>
    <w:rsid w:val="00341602"/>
    <w:rsid w:val="00346EAB"/>
    <w:rsid w:val="00354CC7"/>
    <w:rsid w:val="00355FE2"/>
    <w:rsid w:val="003621FD"/>
    <w:rsid w:val="003C33CE"/>
    <w:rsid w:val="003C5CFD"/>
    <w:rsid w:val="003D54FE"/>
    <w:rsid w:val="004250AA"/>
    <w:rsid w:val="00431B66"/>
    <w:rsid w:val="00444C17"/>
    <w:rsid w:val="004514CB"/>
    <w:rsid w:val="00480457"/>
    <w:rsid w:val="004A1277"/>
    <w:rsid w:val="004A33E1"/>
    <w:rsid w:val="004E35E7"/>
    <w:rsid w:val="00516FD0"/>
    <w:rsid w:val="00535195"/>
    <w:rsid w:val="00551A06"/>
    <w:rsid w:val="005941E5"/>
    <w:rsid w:val="005B65A0"/>
    <w:rsid w:val="005E2F44"/>
    <w:rsid w:val="005E518C"/>
    <w:rsid w:val="0062626D"/>
    <w:rsid w:val="00633B25"/>
    <w:rsid w:val="006C6E6E"/>
    <w:rsid w:val="00713B3D"/>
    <w:rsid w:val="007370BB"/>
    <w:rsid w:val="00747694"/>
    <w:rsid w:val="007573EA"/>
    <w:rsid w:val="007D4897"/>
    <w:rsid w:val="0082037A"/>
    <w:rsid w:val="00823E8A"/>
    <w:rsid w:val="00843449"/>
    <w:rsid w:val="008659F3"/>
    <w:rsid w:val="008831C6"/>
    <w:rsid w:val="008D146D"/>
    <w:rsid w:val="008D67BA"/>
    <w:rsid w:val="008E6959"/>
    <w:rsid w:val="00923ECA"/>
    <w:rsid w:val="009529FE"/>
    <w:rsid w:val="00993AA8"/>
    <w:rsid w:val="009A77A4"/>
    <w:rsid w:val="009F34FA"/>
    <w:rsid w:val="00A46599"/>
    <w:rsid w:val="00A67E7C"/>
    <w:rsid w:val="00A95534"/>
    <w:rsid w:val="00B33D55"/>
    <w:rsid w:val="00B43D48"/>
    <w:rsid w:val="00B51514"/>
    <w:rsid w:val="00B70D2F"/>
    <w:rsid w:val="00B7603C"/>
    <w:rsid w:val="00B975DA"/>
    <w:rsid w:val="00BE1DA7"/>
    <w:rsid w:val="00BF3FF6"/>
    <w:rsid w:val="00C14BB3"/>
    <w:rsid w:val="00C25CB5"/>
    <w:rsid w:val="00CD2204"/>
    <w:rsid w:val="00CE1778"/>
    <w:rsid w:val="00D119A1"/>
    <w:rsid w:val="00D12C89"/>
    <w:rsid w:val="00D21772"/>
    <w:rsid w:val="00DC2649"/>
    <w:rsid w:val="00DE2EB8"/>
    <w:rsid w:val="00DE3641"/>
    <w:rsid w:val="00DE7482"/>
    <w:rsid w:val="00DF342B"/>
    <w:rsid w:val="00E004D3"/>
    <w:rsid w:val="00E169FD"/>
    <w:rsid w:val="00E43F1E"/>
    <w:rsid w:val="00E43FF4"/>
    <w:rsid w:val="00E47662"/>
    <w:rsid w:val="00E47CB9"/>
    <w:rsid w:val="00E57002"/>
    <w:rsid w:val="00EC1684"/>
    <w:rsid w:val="00EC6602"/>
    <w:rsid w:val="00ED03BC"/>
    <w:rsid w:val="00ED1CCD"/>
    <w:rsid w:val="00ED399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9B7E3"/>
  <w15:chartTrackingRefBased/>
  <w15:docId w15:val="{474FFA9C-97B7-D54E-8406-55F74D28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6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6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6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6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602"/>
    <w:rPr>
      <w:rFonts w:eastAsiaTheme="majorEastAsia" w:cstheme="majorBidi"/>
      <w:color w:val="272727" w:themeColor="text1" w:themeTint="D8"/>
    </w:rPr>
  </w:style>
  <w:style w:type="paragraph" w:styleId="Title">
    <w:name w:val="Title"/>
    <w:basedOn w:val="Normal"/>
    <w:next w:val="Normal"/>
    <w:link w:val="TitleChar"/>
    <w:uiPriority w:val="10"/>
    <w:qFormat/>
    <w:rsid w:val="00EC6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602"/>
    <w:pPr>
      <w:spacing w:before="160"/>
      <w:jc w:val="center"/>
    </w:pPr>
    <w:rPr>
      <w:i/>
      <w:iCs/>
      <w:color w:val="404040" w:themeColor="text1" w:themeTint="BF"/>
    </w:rPr>
  </w:style>
  <w:style w:type="character" w:customStyle="1" w:styleId="QuoteChar">
    <w:name w:val="Quote Char"/>
    <w:basedOn w:val="DefaultParagraphFont"/>
    <w:link w:val="Quote"/>
    <w:uiPriority w:val="29"/>
    <w:rsid w:val="00EC6602"/>
    <w:rPr>
      <w:i/>
      <w:iCs/>
      <w:color w:val="404040" w:themeColor="text1" w:themeTint="BF"/>
    </w:rPr>
  </w:style>
  <w:style w:type="paragraph" w:styleId="ListParagraph">
    <w:name w:val="List Paragraph"/>
    <w:basedOn w:val="Normal"/>
    <w:uiPriority w:val="34"/>
    <w:qFormat/>
    <w:rsid w:val="00EC6602"/>
    <w:pPr>
      <w:ind w:left="720"/>
      <w:contextualSpacing/>
    </w:pPr>
  </w:style>
  <w:style w:type="character" w:styleId="IntenseEmphasis">
    <w:name w:val="Intense Emphasis"/>
    <w:basedOn w:val="DefaultParagraphFont"/>
    <w:uiPriority w:val="21"/>
    <w:qFormat/>
    <w:rsid w:val="00EC6602"/>
    <w:rPr>
      <w:i/>
      <w:iCs/>
      <w:color w:val="0F4761" w:themeColor="accent1" w:themeShade="BF"/>
    </w:rPr>
  </w:style>
  <w:style w:type="paragraph" w:styleId="IntenseQuote">
    <w:name w:val="Intense Quote"/>
    <w:basedOn w:val="Normal"/>
    <w:next w:val="Normal"/>
    <w:link w:val="IntenseQuoteChar"/>
    <w:uiPriority w:val="30"/>
    <w:qFormat/>
    <w:rsid w:val="00EC6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602"/>
    <w:rPr>
      <w:i/>
      <w:iCs/>
      <w:color w:val="0F4761" w:themeColor="accent1" w:themeShade="BF"/>
    </w:rPr>
  </w:style>
  <w:style w:type="character" w:styleId="IntenseReference">
    <w:name w:val="Intense Reference"/>
    <w:basedOn w:val="DefaultParagraphFont"/>
    <w:uiPriority w:val="32"/>
    <w:qFormat/>
    <w:rsid w:val="00EC6602"/>
    <w:rPr>
      <w:b/>
      <w:bCs/>
      <w:smallCaps/>
      <w:color w:val="0F4761" w:themeColor="accent1" w:themeShade="BF"/>
      <w:spacing w:val="5"/>
    </w:rPr>
  </w:style>
  <w:style w:type="paragraph" w:styleId="NormalWeb">
    <w:name w:val="Normal (Web)"/>
    <w:basedOn w:val="Normal"/>
    <w:uiPriority w:val="99"/>
    <w:semiHidden/>
    <w:unhideWhenUsed/>
    <w:rsid w:val="00DC26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2649"/>
    <w:rPr>
      <w:b/>
      <w:bCs/>
    </w:rPr>
  </w:style>
  <w:style w:type="character" w:customStyle="1" w:styleId="gtfrommd">
    <w:name w:val="gt_from_md"/>
    <w:basedOn w:val="DefaultParagraphFont"/>
    <w:rsid w:val="00B7603C"/>
  </w:style>
  <w:style w:type="character" w:customStyle="1" w:styleId="gtfootnotemarks">
    <w:name w:val="gt_footnote_marks"/>
    <w:basedOn w:val="DefaultParagraphFont"/>
    <w:rsid w:val="00B7603C"/>
  </w:style>
  <w:style w:type="character" w:customStyle="1" w:styleId="apple-converted-space">
    <w:name w:val="apple-converted-space"/>
    <w:basedOn w:val="DefaultParagraphFont"/>
    <w:rsid w:val="00B7603C"/>
  </w:style>
  <w:style w:type="character" w:styleId="HTMLCode">
    <w:name w:val="HTML Code"/>
    <w:basedOn w:val="DefaultParagraphFont"/>
    <w:uiPriority w:val="99"/>
    <w:semiHidden/>
    <w:unhideWhenUsed/>
    <w:rsid w:val="00B43D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2441</Words>
  <Characters>13914</Characters>
  <Application>Microsoft Office Word</Application>
  <DocSecurity>0</DocSecurity>
  <Lines>115</Lines>
  <Paragraphs>32</Paragraphs>
  <ScaleCrop>false</ScaleCrop>
  <Company/>
  <LinksUpToDate>false</LinksUpToDate>
  <CharactersWithSpaces>16323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Yan</dc:creator>
  <cp:keywords/>
  <dc:description/>
  <cp:lastModifiedBy>Su Yan</cp:lastModifiedBy>
  <cp:revision>113</cp:revision>
  <dcterms:created xsi:type="dcterms:W3CDTF">2026-05-10T02:47:00Z</dcterms:created>
  <dcterms:modified xsi:type="dcterms:W3CDTF">2026-05-12T20:39:00Z</dcterms:modified>
</cp:coreProperties>
</file>