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32"/>
          <w:szCs w:val="32"/>
        </w:rPr>
        <w:t xml:space="preserve">Dynamics of Vaccine Hesitancy Types Following a Vaccine Safety Crisis:</w:t>
      </w:r>
    </w:p>
    <w:p>
      <w:pPr>
        <w:spacing w:after="120"/>
        <w:jc w:val="center"/>
      </w:pPr>
      <w:r>
        <w:rPr>
          <w:rFonts w:ascii="Times New Roman" w:cs="Times New Roman" w:eastAsia="Times New Roman" w:hAnsi="Times New Roman"/>
          <w:b/>
          <w:bCs/>
          <w:sz w:val="32"/>
          <w:szCs w:val="32"/>
        </w:rPr>
        <w:t xml:space="preserve">A 7C Framework Analysis of Korean Social Media Discourse</w:t>
      </w:r>
    </w:p>
    <w:p>
      <w:pPr>
        <w:spacing w:after="120"/>
        <w:jc w:val="center"/>
      </w:pPr>
      <w:r>
        <w:rPr>
          <w:rFonts w:ascii="Times New Roman" w:cs="Times New Roman" w:eastAsia="Times New Roman" w:hAnsi="Times New Roman"/>
          <w:b/>
          <w:bCs/>
          <w:sz w:val="32"/>
          <w:szCs w:val="32"/>
        </w:rPr>
        <w:t xml:space="preserve">on the 2026 COVID-19 Vaccine Foreign Matter Incident</w:t>
      </w:r>
    </w:p>
    <w:p>
      <w:pPr>
        <w:spacing w:after="600"/>
        <w:jc w:val="center"/>
      </w:pPr>
      <w:r>
        <w:rPr>
          <w:rFonts w:ascii="Times New Roman" w:cs="Times New Roman" w:eastAsia="Times New Roman" w:hAnsi="Times New Roman"/>
          <w:i/>
          <w:iCs/>
          <w:color w:val="666666"/>
          <w:sz w:val="24"/>
          <w:szCs w:val="24"/>
        </w:rPr>
        <w:t xml:space="preserve">[Draft — Background / Introduction]</w:t>
      </w:r>
    </w:p>
    <w:p>
      <w:pPr>
        <w:pStyle w:val="Heading1"/>
        <w:spacing w:before="360" w:after="200"/>
      </w:pPr>
      <w:r>
        <w:rPr>
          <w:rFonts w:ascii="Times New Roman" w:cs="Times New Roman" w:eastAsia="Times New Roman" w:hAnsi="Times New Roman"/>
          <w:b/>
          <w:bCs/>
          <w:sz w:val="28"/>
          <w:szCs w:val="28"/>
        </w:rPr>
        <w:t xml:space="preserve">1. Introduction</w:t>
      </w:r>
    </w:p>
    <w:p>
      <w:pPr>
        <w:spacing w:after="200" w:line="360"/>
        <w:ind w:firstLine="720"/>
        <w:jc w:val="both"/>
      </w:pPr>
      <w:r>
        <w:rPr>
          <w:rFonts w:ascii="Times New Roman" w:cs="Times New Roman" w:eastAsia="Times New Roman" w:hAnsi="Times New Roman"/>
          <w:sz w:val="24"/>
          <w:szCs w:val="24"/>
        </w:rPr>
        <w:t xml:space="preserve">Vaccine hesitancy—defined by the WHO Strategic Advisory Group of Experts (SAGE) as a delay in acceptance or refusal of vaccines despite availability of vaccination services (MacDonald &amp; SAGE Working Group, 2015)—has been recognized as one of the top ten threats to global health. While much of the early research on vaccine hesitancy focused on individual-level attitudes and demographic predictors, increasing attention has been paid to how hesitancy is shaped by specific events, media narratives, and institutional trust dynamics. The COVID-19 pandemic, which necessitated unprecedented speed in vaccine development and deployment, amplified both vaccine acceptance and vaccine hesitancy across populations worldwide.</w:t>
      </w:r>
    </w:p>
    <w:p>
      <w:pPr>
        <w:spacing w:after="200" w:line="360"/>
        <w:ind w:firstLine="720"/>
        <w:jc w:val="both"/>
      </w:pPr>
      <w:r>
        <w:rPr>
          <w:rFonts w:ascii="Times New Roman" w:cs="Times New Roman" w:eastAsia="Times New Roman" w:hAnsi="Times New Roman"/>
          <w:sz w:val="24"/>
          <w:szCs w:val="24"/>
        </w:rPr>
        <w:t xml:space="preserve">Understanding vaccine hesitancy requires moving beyond binary classifications (pro-vaccine vs. anti-vaccine) to examine the multidimensional nature of concerns that drive hesitant attitudes. The WHO SAGE Working Group initially proposed the 3C model—Confidence, Complacency, and Convenience—to categorize determinants of vaccine hesitancy (SAGE Working Group, 2014). Betsch et al. (2018) extended this to the 5C model by adding Constraints and Calculation, while subsequent work further expanded it to the 7C model by incorporating Compliance (support for societal monitoring of unvaccinated individuals) and Conspiracy (propensity to endorse conspiracy theories related to vaccination). The 7C model provides the most comprehensive framework for capturing the psychological antecedents of vaccination behavior and is particularly well-suited for analyzing public discourse during crisis events, where conspiracy narratives and compliance resistance often intensify.</w:t>
      </w:r>
    </w:p>
    <w:p>
      <w:pPr>
        <w:spacing w:after="200" w:line="360"/>
        <w:ind w:firstLine="720"/>
        <w:jc w:val="both"/>
      </w:pPr>
      <w:r>
        <w:rPr>
          <w:rFonts w:ascii="Times New Roman" w:cs="Times New Roman" w:eastAsia="Times New Roman" w:hAnsi="Times New Roman"/>
          <w:sz w:val="24"/>
          <w:szCs w:val="24"/>
        </w:rPr>
        <w:t xml:space="preserve">Despite these theoretical advances, the application of multidimensional hesitancy frameworks to real-time social media analysis remains limited. Most existing infoveillance studies on vaccine-related discourse rely on binary sentiment classification (positive/negative) or broad topic modeling approaches, which fail to distinguish between qualitatively different types of hesitancy that may require fundamentally different public health communication strategies. A parent worried about vaccine side effects (a Confidence concern) requires a different intervention than someone who believes vaccines are a tool of government surveillance (a Conspiracy concern), yet both would be classified identically in a conventional sentiment analysis.</w:t>
      </w:r>
    </w:p>
    <w:p>
      <w:pPr>
        <w:pStyle w:val="Heading1"/>
        <w:spacing w:before="360" w:after="200"/>
      </w:pPr>
      <w:r>
        <w:rPr>
          <w:rFonts w:ascii="Times New Roman" w:cs="Times New Roman" w:eastAsia="Times New Roman" w:hAnsi="Times New Roman"/>
          <w:b/>
          <w:bCs/>
          <w:sz w:val="28"/>
          <w:szCs w:val="28"/>
        </w:rPr>
        <w:t xml:space="preserve">2. The Korean Vaccine Compensation Paradox</w:t>
      </w:r>
    </w:p>
    <w:p>
      <w:pPr>
        <w:spacing w:after="200" w:line="360"/>
        <w:ind w:firstLine="720"/>
        <w:jc w:val="both"/>
      </w:pPr>
      <w:r>
        <w:rPr>
          <w:rFonts w:ascii="Times New Roman" w:cs="Times New Roman" w:eastAsia="Times New Roman" w:hAnsi="Times New Roman"/>
          <w:sz w:val="24"/>
          <w:szCs w:val="24"/>
        </w:rPr>
        <w:t xml:space="preserve">South Korea presents a uniquely instructive case for studying vaccine hesitancy dynamics. The country maintains the world’s highest per-capita rate of COVID-19 vaccine injury compensation approvals, with 17.6 approved claims per 100,000 doses administered—approximately three times the rate of the next-highest country, Thailand (6.5 per 100,000), and incomparably higher than the United States (effectively 0.0 per 100,000) (KDCA, International Comparison of Compensation Approval Rates, internal data as of January 1, 2026). Cross-validation with published data confirms this pattern: Chu et al. (2025) reported South Korea’s approval rate at 26.09%, close to the international median of 26.76% across 14 jurisdictions, in a study analyzing 167,532 total applications, of which up to 38,658 were approved globally.</w:t>
      </w:r>
    </w:p>
    <w:p>
      <w:pPr>
        <w:spacing w:before="200" w:after="100"/>
        <w:jc w:val="left"/>
      </w:pPr>
      <w:r>
        <w:rPr>
          <w:rFonts w:ascii="Times New Roman" w:cs="Times New Roman" w:eastAsia="Times New Roman" w:hAnsi="Times New Roman"/>
          <w:b/>
          <w:bCs/>
          <w:i/>
          <w:iCs/>
          <w:sz w:val="20"/>
          <w:szCs w:val="20"/>
        </w:rPr>
        <w:t xml:space="preserve">Table 1. International Comparison of COVID-19 Vaccine Injury Compensation (per 100,000 doses administered)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700"/>
        <w:gridCol w:w="1700"/>
        <w:gridCol w:w="2060"/>
      </w:tblGrid>
      <w:tr>
        <w:tc>
          <w:tcPr>
            <w:tcW w:type="dxa" w:w="22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Country</w:t>
            </w:r>
          </w:p>
        </w:tc>
        <w:tc>
          <w:tcPr>
            <w:tcW w:type="dxa" w:w="17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Claims Filed</w:t>
            </w:r>
          </w:p>
        </w:tc>
        <w:tc>
          <w:tcPr>
            <w:tcW w:type="dxa" w:w="17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Claims Approved</w:t>
            </w:r>
          </w:p>
        </w:tc>
        <w:tc>
          <w:tcPr>
            <w:tcW w:type="dxa" w:w="17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Approval Rate (%)</w:t>
            </w:r>
          </w:p>
        </w:tc>
        <w:tc>
          <w:tcPr>
            <w:tcW w:type="dxa" w:w="206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Source</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South Korea</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70.8</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17.6</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26.09</w:t>
            </w:r>
          </w:p>
        </w:tc>
        <w:tc>
          <w:tcPr>
            <w:tcW w:type="dxa" w:w="20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KDCA; Chu et al.</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Thailand</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8.8</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6.5</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w:t>
            </w:r>
          </w:p>
        </w:tc>
        <w:tc>
          <w:tcPr>
            <w:tcW w:type="dxa" w:w="20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KDCA</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Japan</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3.9</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2.1</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74.29</w:t>
            </w:r>
          </w:p>
        </w:tc>
        <w:tc>
          <w:tcPr>
            <w:tcW w:type="dxa" w:w="20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KDCA; Chu et al.</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Germany</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6.2</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0.2</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w:t>
            </w:r>
          </w:p>
        </w:tc>
        <w:tc>
          <w:tcPr>
            <w:tcW w:type="dxa" w:w="20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KDCA</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Australia</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6.14</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0.46</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w:t>
            </w:r>
          </w:p>
        </w:tc>
        <w:tc>
          <w:tcPr>
            <w:tcW w:type="dxa" w:w="20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KDCA</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Canada</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3.1</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0.2</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w:t>
            </w:r>
          </w:p>
        </w:tc>
        <w:tc>
          <w:tcPr>
            <w:tcW w:type="dxa" w:w="20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KDCA</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United Kingdom</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11.3</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2.64</w:t>
            </w:r>
          </w:p>
        </w:tc>
        <w:tc>
          <w:tcPr>
            <w:tcW w:type="dxa" w:w="20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KDCA; Chu et al.</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United States</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1.9</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3.00</w:t>
            </w:r>
          </w:p>
        </w:tc>
        <w:tc>
          <w:tcPr>
            <w:tcW w:type="dxa" w:w="20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KDCA; Chu et al.</w:t>
            </w:r>
          </w:p>
        </w:tc>
      </w:tr>
    </w:tbl>
    <w:p>
      <w:pPr>
        <w:spacing w:before="60" w:after="200"/>
      </w:pPr>
      <w:r>
        <w:rPr>
          <w:rFonts w:ascii="Times New Roman" w:cs="Times New Roman" w:eastAsia="Times New Roman" w:hAnsi="Times New Roman"/>
          <w:i/>
          <w:iCs/>
          <w:sz w:val="18"/>
          <w:szCs w:val="18"/>
        </w:rPr>
        <w:t xml:space="preserve">Note: Claims filed and approved are per 100,000 doses. Approval rate (%) from Chu et al. (2025) where available. Source: KDCA internal data (as of 2026.1.1); Chu et al. (Vaccine, 2025, DOI: 10.1016/j.vaccine.2025.126830).</w:t>
      </w:r>
    </w:p>
    <w:p>
      <w:pPr>
        <w:spacing w:after="200" w:line="360"/>
        <w:ind w:firstLine="720"/>
        <w:jc w:val="both"/>
      </w:pPr>
      <w:r>
        <w:rPr>
          <w:rFonts w:ascii="Times New Roman" w:cs="Times New Roman" w:eastAsia="Times New Roman" w:hAnsi="Times New Roman"/>
          <w:sz w:val="24"/>
          <w:szCs w:val="24"/>
        </w:rPr>
        <w:t xml:space="preserve">Yet despite this internationally unparalleled level of compensation, public distrust toward COVID-19 vaccines persisted and even intensified in South Korea. Organized advocacy groups representing vaccine-injured individuals lobbied for legislative action, culminating in the enactment of the Special Act on COVID-19 Vaccination Injury Compensation in April 2025, which took effect on October 23, 2025. This legislation introduced a presumption-based causality standard (replacing the previous burden-of-proof requirement on claimants), established a dedicated Injury Compensation Committee and Appeals Committee, and allowed retrospective claims for decisions made before the Act’s implementation.</w:t>
      </w:r>
    </w:p>
    <w:p>
      <w:pPr>
        <w:spacing w:after="200" w:line="360"/>
        <w:ind w:firstLine="720"/>
        <w:jc w:val="both"/>
      </w:pPr>
      <w:r>
        <w:rPr>
          <w:rFonts w:ascii="Times New Roman" w:cs="Times New Roman" w:eastAsia="Times New Roman" w:hAnsi="Times New Roman"/>
          <w:sz w:val="24"/>
          <w:szCs w:val="24"/>
        </w:rPr>
        <w:t xml:space="preserve">This paradox—the world’s most generous compensation system failing to resolve public distrust—suggests that vaccine hesitancy is not fundamentally a problem of compensation quantity. Rather, it reflects deeper issues in the </w:t>
      </w:r>
      <w:r>
        <w:rPr>
          <w:rFonts w:ascii="Times New Roman" w:cs="Times New Roman" w:eastAsia="Times New Roman" w:hAnsi="Times New Roman"/>
          <w:i/>
          <w:iCs/>
          <w:sz w:val="24"/>
          <w:szCs w:val="24"/>
        </w:rPr>
        <w:t xml:space="preserve">trust architecture</w:t>
      </w:r>
      <w:r>
        <w:rPr>
          <w:rFonts w:ascii="Times New Roman" w:cs="Times New Roman" w:eastAsia="Times New Roman" w:hAnsi="Times New Roman"/>
          <w:sz w:val="24"/>
          <w:szCs w:val="24"/>
        </w:rPr>
        <w:t xml:space="preserve"> of public health governance: procedural transparency, perceived fairness of causality assessment criteria, and systemic accountability. This observation aligns with the 7C framework’s distinction between Confidence (trust in vaccine safety and efficacy), Compliance (attitudes toward institutional mandates), and Conspiracy (systemic distrust narratives)—dimensions that cannot be captured by simple sentiment analysis and that persist independent of compensation generosity.</w:t>
      </w:r>
    </w:p>
    <w:p>
      <w:pPr>
        <w:pStyle w:val="Heading1"/>
        <w:spacing w:before="360" w:after="200"/>
      </w:pPr>
      <w:r>
        <w:rPr>
          <w:rFonts w:ascii="Times New Roman" w:cs="Times New Roman" w:eastAsia="Times New Roman" w:hAnsi="Times New Roman"/>
          <w:b/>
          <w:bCs/>
          <w:sz w:val="28"/>
          <w:szCs w:val="28"/>
        </w:rPr>
        <w:t xml:space="preserve">3. The 2026 Vaccine Foreign Matter Incident</w:t>
      </w:r>
    </w:p>
    <w:p>
      <w:pPr>
        <w:spacing w:after="200" w:line="360"/>
        <w:ind w:firstLine="720"/>
        <w:jc w:val="both"/>
      </w:pPr>
      <w:r>
        <w:rPr>
          <w:rFonts w:ascii="Times New Roman" w:cs="Times New Roman" w:eastAsia="Times New Roman" w:hAnsi="Times New Roman"/>
          <w:sz w:val="24"/>
          <w:szCs w:val="24"/>
        </w:rPr>
        <w:t xml:space="preserve">On February 23, 2026, South Korea’s Board of Audit and Inspection (BAI) released its audit findings on the national COVID-19 response, revealing significant gaps in vaccine safety management. The audit disclosed that the Korea Disease Control and Prevention Agency (KDCA) had received 1,285 reports of foreign matter found in COVID-19 vaccines from medical institutions between March 2021 and October 2024. Critically, the KDCA had failed to report these cases to the Ministry of Food and Drug Safety, instead merely notifying manufacturers and awaiting their investigation results. Additionally, approximately 1.31 million doses were administered without national lot release testing—the standard quality verification procedure for each vaccine batch.</w:t>
      </w:r>
    </w:p>
    <w:p>
      <w:pPr>
        <w:spacing w:after="200" w:line="360"/>
        <w:ind w:firstLine="720"/>
        <w:jc w:val="both"/>
      </w:pPr>
      <w:r>
        <w:rPr>
          <w:rFonts w:ascii="Times New Roman" w:cs="Times New Roman" w:eastAsia="Times New Roman" w:hAnsi="Times New Roman"/>
          <w:sz w:val="24"/>
          <w:szCs w:val="24"/>
        </w:rPr>
        <w:t xml:space="preserve">This event is analytically significant for several reasons. First, it directly implicates institutional safety oversight failures, which are expected to trigger Confidence-related concerns (trust in the safety system) as well as Conspiracy narratives (suspicions of deliberate concealment). Second, it occurred in a context where compensatory trust mechanisms (the Special Act) had already been established, allowing observation of how safety-specific concerns interact with pre-existing systemic distrust. Third, the BAI audit constitutes an official government self-criticism, creating a unique discursive environment in which the government’s own findings validate citizen concerns—a dynamic that may differentially affect Confidence versus Conspiracy dimensions of hesitancy.</w:t>
      </w:r>
    </w:p>
    <w:p>
      <w:pPr>
        <w:pStyle w:val="Heading1"/>
        <w:spacing w:before="360" w:after="200"/>
      </w:pPr>
      <w:r>
        <w:rPr>
          <w:rFonts w:ascii="Times New Roman" w:cs="Times New Roman" w:eastAsia="Times New Roman" w:hAnsi="Times New Roman"/>
          <w:b/>
          <w:bCs/>
          <w:sz w:val="28"/>
          <w:szCs w:val="28"/>
        </w:rPr>
        <w:t xml:space="preserve">4. Research Gap and Objectives</w:t>
      </w:r>
    </w:p>
    <w:p>
      <w:pPr>
        <w:spacing w:after="200" w:line="360"/>
        <w:ind w:firstLine="720"/>
        <w:jc w:val="both"/>
      </w:pPr>
      <w:r>
        <w:rPr>
          <w:rFonts w:ascii="Times New Roman" w:cs="Times New Roman" w:eastAsia="Times New Roman" w:hAnsi="Times New Roman"/>
          <w:sz w:val="24"/>
          <w:szCs w:val="24"/>
        </w:rPr>
        <w:t xml:space="preserve">Existing studies on vaccine-related social media discourse have largely employed binary sentiment classification or broad topic modeling, which cannot distinguish between qualitatively different types of vaccine hesitancy. While the CAVES dataset (Poddar et al., 2022) advanced this field by introducing fine-grained, multi-label classification of anti-vaccine concerns (11 categories including side-effects, ineffectiveness, conspiracy, political motivations, and others), two significant gaps remain.</w:t>
      </w:r>
    </w:p>
    <w:p>
      <w:pPr>
        <w:spacing w:after="200" w:line="360"/>
        <w:ind w:firstLine="720"/>
        <w:jc w:val="both"/>
      </w:pPr>
      <w:r>
        <w:rPr>
          <w:rFonts w:ascii="Times New Roman" w:cs="Times New Roman" w:eastAsia="Times New Roman" w:hAnsi="Times New Roman"/>
          <w:sz w:val="24"/>
          <w:szCs w:val="24"/>
        </w:rPr>
        <w:t xml:space="preserve">First, the CAVES categories were developed as empirical labels for NLP classification tasks, without systematic mapping to established theoretical frameworks of vaccine hesitancy. Although the categories are substantively meaningful, their relationship to the 7C psychological antecedents framework (Betsch et al., 2018; extended by Geiger et al., 2021) has not been formally established. This limits the ability to translate computational classification results into theoretically grounded public health insights.</w:t>
      </w:r>
    </w:p>
    <w:p>
      <w:pPr>
        <w:spacing w:after="200" w:line="360"/>
        <w:ind w:firstLine="720"/>
        <w:jc w:val="both"/>
      </w:pPr>
      <w:r>
        <w:rPr>
          <w:rFonts w:ascii="Times New Roman" w:cs="Times New Roman" w:eastAsia="Times New Roman" w:hAnsi="Times New Roman"/>
          <w:sz w:val="24"/>
          <w:szCs w:val="24"/>
        </w:rPr>
        <w:t xml:space="preserve">Second, most analyses of vaccine-related discourse provide static snapshots of concern distributions rather than tracking how hesitancy type compositions shift in response to specific triggering events. Understanding the </w:t>
      </w:r>
      <w:r>
        <w:rPr>
          <w:rFonts w:ascii="Times New Roman" w:cs="Times New Roman" w:eastAsia="Times New Roman" w:hAnsi="Times New Roman"/>
          <w:i/>
          <w:iCs/>
          <w:sz w:val="24"/>
          <w:szCs w:val="24"/>
        </w:rPr>
        <w:t xml:space="preserve">dynamics</w:t>
      </w:r>
      <w:r>
        <w:rPr>
          <w:rFonts w:ascii="Times New Roman" w:cs="Times New Roman" w:eastAsia="Times New Roman" w:hAnsi="Times New Roman"/>
          <w:sz w:val="24"/>
          <w:szCs w:val="24"/>
        </w:rPr>
        <w:t xml:space="preserve"> of hesitancy—how different types of concerns emerge, amplify, co-occur, and attenuate following a crisis event—is essential for designing timely and targeted public health communication strategies.</w:t>
      </w:r>
    </w:p>
    <w:p>
      <w:pPr>
        <w:spacing w:after="200" w:line="360"/>
        <w:ind w:firstLine="720"/>
        <w:jc w:val="both"/>
      </w:pPr>
      <w:r>
        <w:rPr>
          <w:rFonts w:ascii="Times New Roman" w:cs="Times New Roman" w:eastAsia="Times New Roman" w:hAnsi="Times New Roman"/>
          <w:sz w:val="24"/>
          <w:szCs w:val="24"/>
        </w:rPr>
        <w:t xml:space="preserve">This study addresses these gaps through the following objectives:</w:t>
      </w:r>
    </w:p>
    <w:p>
      <w:pPr>
        <w:spacing w:after="200" w:line="360"/>
        <w:jc w:val="both"/>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To establish a systematic mapping between the CAVES empirical classification categories and the 7C theoretical framework, validated through independent dual-author review with inter-rater agreement (Cohen’s kappa);</w:t>
      </w:r>
    </w:p>
    <w:p>
      <w:pPr>
        <w:spacing w:after="200" w:line="360"/>
        <w:jc w:val="both"/>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To develop and validate an LLM-based classifier for 7C hesitancy type classification, benchmarked against the CAVES dataset with human-annotated ground truth;</w:t>
      </w:r>
    </w:p>
    <w:p>
      <w:pPr>
        <w:spacing w:after="200" w:line="360"/>
        <w:jc w:val="both"/>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To apply the validated classifier to Korean-language social media discourse across three Naver channels (news comments, café posts, and blog posts) over a 6-week observation period (February 7 – March 21, 2026), spanning 2 weeks of baseline and 4 weeks following the BAI audit disclosure;</w:t>
      </w:r>
    </w:p>
    <w:p>
      <w:pPr>
        <w:spacing w:after="200" w:line="360"/>
        <w:jc w:val="both"/>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To analyze the temporal dynamics and co-occurrence patterns of 7C hesitancy types across channels, with particular attention to the interaction between Confidence, Compliance, and Conspiracy dimensions following the triggering event.</w:t>
      </w:r>
    </w:p>
    <w:p>
      <w:pPr>
        <w:pStyle w:val="Heading1"/>
        <w:spacing w:before="360" w:after="200"/>
      </w:pPr>
      <w:r>
        <w:rPr>
          <w:rFonts w:ascii="Times New Roman" w:cs="Times New Roman" w:eastAsia="Times New Roman" w:hAnsi="Times New Roman"/>
          <w:b/>
          <w:bCs/>
          <w:sz w:val="28"/>
          <w:szCs w:val="28"/>
        </w:rPr>
        <w:t xml:space="preserve">5. Methodological Approach (Preview)</w:t>
      </w:r>
    </w:p>
    <w:p>
      <w:pPr>
        <w:spacing w:after="200" w:line="360"/>
        <w:ind w:firstLine="720"/>
        <w:jc w:val="both"/>
      </w:pPr>
      <w:r>
        <w:rPr>
          <w:rFonts w:ascii="Times New Roman" w:cs="Times New Roman" w:eastAsia="Times New Roman" w:hAnsi="Times New Roman"/>
          <w:sz w:val="24"/>
          <w:szCs w:val="24"/>
        </w:rPr>
        <w:t xml:space="preserve">The study employs a three-stage methodological pipeline. In the first stage, an initial mapping of the 11 CAVES categories to the 7C dimensions is generated based on the definitional correspondence between the CAVES category descriptions (Poddar et al., 2022) and the 7C construct definitions (Betsch et al., 2018). Two authors then independently review each proposed mapping, recording whether they agree with, modify, or reject the semantic alignment between the source category and the target dimension. Inter-rater agreement on the independent reviews is assessed using Cohen’s kappa. Any discrepancies are resolved through discussion until consensus is reached.</w:t>
      </w:r>
    </w:p>
    <w:p>
      <w:pPr>
        <w:spacing w:before="200" w:after="100"/>
        <w:jc w:val="left"/>
      </w:pPr>
      <w:r>
        <w:rPr>
          <w:rFonts w:ascii="Times New Roman" w:cs="Times New Roman" w:eastAsia="Times New Roman" w:hAnsi="Times New Roman"/>
          <w:b/>
          <w:bCs/>
          <w:i/>
          <w:iCs/>
          <w:sz w:val="20"/>
          <w:szCs w:val="20"/>
        </w:rPr>
        <w:t xml:space="preserve">Table 2. Proposed Mapping of CAVES Categories to the 7C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1800"/>
        <w:gridCol w:w="1760"/>
      </w:tblGrid>
      <w:tr>
        <w:tc>
          <w:tcPr>
            <w:tcW w:type="dxa" w:w="20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CAVES Category</w:t>
            </w:r>
          </w:p>
        </w:tc>
        <w:tc>
          <w:tcPr>
            <w:tcW w:type="dxa" w:w="38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Description</w:t>
            </w:r>
          </w:p>
        </w:tc>
        <w:tc>
          <w:tcPr>
            <w:tcW w:type="dxa" w:w="18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7C Dimension(s)</w:t>
            </w:r>
          </w:p>
        </w:tc>
        <w:tc>
          <w:tcPr>
            <w:tcW w:type="dxa" w:w="176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Rationale</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Side-effect</w:t>
            </w:r>
          </w:p>
        </w:tc>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Concerns about adverse effects including deaths</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Confidence</w:t>
            </w:r>
          </w:p>
        </w:tc>
        <w:tc>
          <w:tcPr>
            <w:tcW w:type="dxa" w:w="1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Safety trust</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Ineffective</w:t>
            </w:r>
          </w:p>
        </w:tc>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Vaccines are not effective enough</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Confidence</w:t>
            </w:r>
          </w:p>
        </w:tc>
        <w:tc>
          <w:tcPr>
            <w:tcW w:type="dxa" w:w="1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Efficacy trust</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Rushed</w:t>
            </w:r>
          </w:p>
        </w:tc>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Insufficient testing or inaccurate data</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Confidence, Calculation</w:t>
            </w:r>
          </w:p>
        </w:tc>
        <w:tc>
          <w:tcPr>
            <w:tcW w:type="dxa" w:w="1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Process trust + risk weighing</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Ingredients</w:t>
            </w:r>
          </w:p>
        </w:tc>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Concerns about vaccine components or mRNA technology</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Confidence</w:t>
            </w:r>
          </w:p>
        </w:tc>
        <w:tc>
          <w:tcPr>
            <w:tcW w:type="dxa" w:w="1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Safety trust</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Pharma</w:t>
            </w:r>
          </w:p>
        </w:tc>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Pharmaceutical companies driven by profit</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Confidence</w:t>
            </w:r>
          </w:p>
        </w:tc>
        <w:tc>
          <w:tcPr>
            <w:tcW w:type="dxa" w:w="1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System trust</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Conspiracy</w:t>
            </w:r>
          </w:p>
        </w:tc>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Deep conspiracy (tracking, COVID hoax, etc.)</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Conspiracy</w:t>
            </w:r>
          </w:p>
        </w:tc>
        <w:tc>
          <w:tcPr>
            <w:tcW w:type="dxa" w:w="1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Conspiracy ideation</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Political</w:t>
            </w:r>
          </w:p>
        </w:tc>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Government/politicians pushing agenda through vaccines</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Confidence, Conspiracy</w:t>
            </w:r>
          </w:p>
        </w:tc>
        <w:tc>
          <w:tcPr>
            <w:tcW w:type="dxa" w:w="1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Policy-maker trust + conspiracy</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Mandatory</w:t>
            </w:r>
          </w:p>
        </w:tc>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Opposition to compulsory vaccination</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Compliance</w:t>
            </w:r>
          </w:p>
        </w:tc>
        <w:tc>
          <w:tcPr>
            <w:tcW w:type="dxa" w:w="1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Mandate resistance</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Unnecessary</w:t>
            </w:r>
          </w:p>
        </w:tc>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Vaccination deemed unnecessary</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Complacency</w:t>
            </w:r>
          </w:p>
        </w:tc>
        <w:tc>
          <w:tcPr>
            <w:tcW w:type="dxa" w:w="1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Low perceived risk</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Country</w:t>
            </w:r>
          </w:p>
        </w:tc>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Distrust due to country of manufacture</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Confidence</w:t>
            </w:r>
          </w:p>
        </w:tc>
        <w:tc>
          <w:tcPr>
            <w:tcW w:type="dxa" w:w="1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Origin-based trust</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Religious</w:t>
            </w:r>
          </w:p>
        </w:tc>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Opposition on religious grounds</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Calculation</w:t>
            </w:r>
          </w:p>
        </w:tc>
        <w:tc>
          <w:tcPr>
            <w:tcW w:type="dxa" w:w="1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Value-based weighing</w:t>
            </w:r>
          </w:p>
        </w:tc>
      </w:tr>
    </w:tbl>
    <w:p>
      <w:pPr>
        <w:spacing w:before="60" w:after="200"/>
      </w:pPr>
      <w:r>
        <w:rPr>
          <w:rFonts w:ascii="Times New Roman" w:cs="Times New Roman" w:eastAsia="Times New Roman" w:hAnsi="Times New Roman"/>
          <w:i/>
          <w:iCs/>
          <w:sz w:val="18"/>
          <w:szCs w:val="18"/>
        </w:rPr>
        <w:t xml:space="preserve">Note: Initial mapping generated from definitional correspondence; validated via independent dual-author review (Cohen’s kappa). CAVES categories from Poddar et al. (2022); 7C dimensions from Betsch et al. (2018) and Geiger et al. (2021).</w:t>
      </w:r>
    </w:p>
    <w:p>
      <w:pPr>
        <w:spacing w:after="200" w:line="360"/>
        <w:ind w:firstLine="720"/>
        <w:jc w:val="both"/>
      </w:pPr>
      <w:r>
        <w:rPr>
          <w:rFonts w:ascii="Times New Roman" w:cs="Times New Roman" w:eastAsia="Times New Roman" w:hAnsi="Times New Roman"/>
          <w:sz w:val="24"/>
          <w:szCs w:val="24"/>
        </w:rPr>
        <w:t xml:space="preserve">In the second stage, the validated mapping is used to benchmark an LLM-based classifier. The CAVES dataset (~10,000 English-language COVID-19 anti-vaccine tweets with human-annotated multi-labels) serves as the ground truth. An LLM (e.g., PH-LLM or comparable model) classifies each tweet according to the 7C-mapped categories, and classification performance is evaluated using standard metrics (precision, recall, F1-score per category, macro-average F1). This establishes the reliability of the LLM classifier before its application to Korean-language data.</w:t>
      </w:r>
    </w:p>
    <w:p>
      <w:pPr>
        <w:spacing w:after="200" w:line="360"/>
        <w:ind w:firstLine="720"/>
        <w:jc w:val="both"/>
      </w:pPr>
      <w:r>
        <w:rPr>
          <w:rFonts w:ascii="Times New Roman" w:cs="Times New Roman" w:eastAsia="Times New Roman" w:hAnsi="Times New Roman"/>
          <w:sz w:val="24"/>
          <w:szCs w:val="24"/>
        </w:rPr>
        <w:t xml:space="preserve">In the third stage, the validated classifier is applied to Korean-language social media data collected from three Naver channels—news comments, café posts, and blog posts—over a 6-week period (February 7 – March 21, 2026). This period comprises a 2-week baseline (pre-incident) and a 4-week post-incident observation window. A subset of Korean-language data is manually coded by bilingual coders to cross-validate LLM classification performance in the target language. The resulting 7C-classified corpus enables: (a) temporal analysis of hesitancy type distributions before and after the triggering event; (b) channel-comparative analysis of how different Naver platforms exhibit distinct hesitancy profiles; and (c) co-occurrence network analysis to identify compound distrust clusters (e.g., simultaneous activation of Confidence, Compliance, and Conspiracy concerns).</w:t>
      </w:r>
    </w:p>
    <w:p>
      <w:pPr>
        <w:pStyle w:val="Heading1"/>
        <w:spacing w:before="360" w:after="200"/>
      </w:pPr>
      <w:r>
        <w:rPr>
          <w:rFonts w:ascii="Times New Roman" w:cs="Times New Roman" w:eastAsia="Times New Roman" w:hAnsi="Times New Roman"/>
          <w:b/>
          <w:bCs/>
          <w:sz w:val="28"/>
          <w:szCs w:val="28"/>
        </w:rPr>
        <w:t xml:space="preserve">6. Significance</w:t>
      </w:r>
    </w:p>
    <w:p>
      <w:pPr>
        <w:spacing w:after="200" w:line="360"/>
        <w:ind w:firstLine="720"/>
        <w:jc w:val="both"/>
      </w:pPr>
      <w:r>
        <w:rPr>
          <w:rFonts w:ascii="Times New Roman" w:cs="Times New Roman" w:eastAsia="Times New Roman" w:hAnsi="Times New Roman"/>
          <w:sz w:val="24"/>
          <w:szCs w:val="24"/>
        </w:rPr>
        <w:t xml:space="preserve">This study makes three primary contributions. First, it bridges the gap between empirical NLP classification (CAVES) and theoretical vaccine hesitancy frameworks (7C) by providing a validated mapping with inter-rater reliability metrics. Second, it demonstrates the feasibility of LLM-based, multidimensional hesitancy classification for non-English social media discourse—an approach that, if validated, could be scaled to real-time public health infoveillance systems. Third, the analysis of hesitancy dynamics following a specific triggering event provides empirical evidence for the proposition that vaccine hesitancy is not a monolithic phenomenon but a composite of distinct psychological antecedents that respond differently to different types of events. The finding that the world’s most generous compensation system failed to prevent organized distrust further underscores the need for communication strategies that are calibrated not merely to the </w:t>
      </w:r>
      <w:r>
        <w:rPr>
          <w:rFonts w:ascii="Times New Roman" w:cs="Times New Roman" w:eastAsia="Times New Roman" w:hAnsi="Times New Roman"/>
          <w:i/>
          <w:iCs/>
          <w:sz w:val="24"/>
          <w:szCs w:val="24"/>
        </w:rPr>
        <w:t xml:space="preserve">volume</w:t>
      </w:r>
      <w:r>
        <w:rPr>
          <w:rFonts w:ascii="Times New Roman" w:cs="Times New Roman" w:eastAsia="Times New Roman" w:hAnsi="Times New Roman"/>
          <w:sz w:val="24"/>
          <w:szCs w:val="24"/>
        </w:rPr>
        <w:t xml:space="preserve"> of hesitancy, but to its </w:t>
      </w:r>
      <w:r>
        <w:rPr>
          <w:rFonts w:ascii="Times New Roman" w:cs="Times New Roman" w:eastAsia="Times New Roman" w:hAnsi="Times New Roman"/>
          <w:i/>
          <w:iCs/>
          <w:sz w:val="24"/>
          <w:szCs w:val="24"/>
        </w:rPr>
        <w:t xml:space="preserve">architecture</w:t>
      </w:r>
      <w:r>
        <w:rPr>
          <w:rFonts w:ascii="Times New Roman" w:cs="Times New Roman" w:eastAsia="Times New Roman" w:hAnsi="Times New Roman"/>
          <w:sz w:val="24"/>
          <w:szCs w:val="24"/>
        </w:rPr>
        <w:t xml:space="preserve">.</w:t>
      </w:r>
    </w:p>
    <w:p>
      <w:pPr>
        <w:pStyle w:val="Heading1"/>
        <w:spacing w:before="360" w:after="200"/>
      </w:pPr>
      <w:r>
        <w:rPr>
          <w:rFonts w:ascii="Times New Roman" w:cs="Times New Roman" w:eastAsia="Times New Roman" w:hAnsi="Times New Roman"/>
          <w:b/>
          <w:bCs/>
          <w:sz w:val="28"/>
          <w:szCs w:val="28"/>
        </w:rPr>
        <w:t xml:space="preserve">References</w:t>
      </w:r>
    </w:p>
    <w:p>
      <w:pPr>
        <w:spacing w:after="200" w:line="360"/>
        <w:jc w:val="both"/>
      </w:pPr>
      <w:r>
        <w:rPr>
          <w:rFonts w:ascii="Times New Roman" w:cs="Times New Roman" w:eastAsia="Times New Roman" w:hAnsi="Times New Roman"/>
          <w:i/>
          <w:iCs/>
          <w:sz w:val="24"/>
          <w:szCs w:val="24"/>
        </w:rPr>
        <w:t xml:space="preserve">(To be completed with full reference list)</w:t>
      </w:r>
    </w:p>
    <w:p>
      <w:pPr>
        <w:spacing w:after="200" w:line="360"/>
        <w:jc w:val="both"/>
      </w:pPr>
      <w:r>
        <w:rPr>
          <w:rFonts w:ascii="Times New Roman" w:cs="Times New Roman" w:eastAsia="Times New Roman" w:hAnsi="Times New Roman"/>
          <w:sz w:val="24"/>
          <w:szCs w:val="24"/>
        </w:rPr>
        <w:t xml:space="preserve">Betsch, C., Schmid, P., Heinemeier, D., Korn, L., Holtmann, C., &amp; Böhm, R. (2018). Beyond confidence: Development of a measure assessing the 5C psychological antecedents of vaccination. </w:t>
      </w:r>
      <w:r>
        <w:rPr>
          <w:rFonts w:ascii="Times New Roman" w:cs="Times New Roman" w:eastAsia="Times New Roman" w:hAnsi="Times New Roman"/>
          <w:i/>
          <w:iCs/>
          <w:sz w:val="24"/>
          <w:szCs w:val="24"/>
        </w:rPr>
        <w:t xml:space="preserve">PLoS ONE</w:t>
      </w:r>
      <w:r>
        <w:rPr>
          <w:rFonts w:ascii="Times New Roman" w:cs="Times New Roman" w:eastAsia="Times New Roman" w:hAnsi="Times New Roman"/>
          <w:sz w:val="24"/>
          <w:szCs w:val="24"/>
        </w:rPr>
        <w:t xml:space="preserve">, 13(12), e0208601.</w:t>
      </w:r>
    </w:p>
    <w:p>
      <w:pPr>
        <w:spacing w:after="200" w:line="360"/>
        <w:jc w:val="both"/>
      </w:pPr>
      <w:r>
        <w:rPr>
          <w:rFonts w:ascii="Times New Roman" w:cs="Times New Roman" w:eastAsia="Times New Roman" w:hAnsi="Times New Roman"/>
          <w:sz w:val="24"/>
          <w:szCs w:val="24"/>
        </w:rPr>
        <w:t xml:space="preserve">Chu, C.-F., Chang, T.-H., &amp; Ho, J.-J. (2025). Comparative analysis of fourteen COVID-19 vaccine injury compensation systems and claim approval rates. </w:t>
      </w:r>
      <w:r>
        <w:rPr>
          <w:rFonts w:ascii="Times New Roman" w:cs="Times New Roman" w:eastAsia="Times New Roman" w:hAnsi="Times New Roman"/>
          <w:i/>
          <w:iCs/>
          <w:sz w:val="24"/>
          <w:szCs w:val="24"/>
        </w:rPr>
        <w:t xml:space="preserve">Vaccine</w:t>
      </w:r>
      <w:r>
        <w:rPr>
          <w:rFonts w:ascii="Times New Roman" w:cs="Times New Roman" w:eastAsia="Times New Roman" w:hAnsi="Times New Roman"/>
          <w:sz w:val="24"/>
          <w:szCs w:val="24"/>
        </w:rPr>
        <w:t xml:space="preserve">, 52, 126830. DOI: 10.1016/j.vaccine.2025.126830</w:t>
      </w:r>
    </w:p>
    <w:p>
      <w:pPr>
        <w:spacing w:after="200" w:line="360"/>
        <w:jc w:val="both"/>
      </w:pPr>
      <w:r>
        <w:rPr>
          <w:rFonts w:ascii="Times New Roman" w:cs="Times New Roman" w:eastAsia="Times New Roman" w:hAnsi="Times New Roman"/>
          <w:sz w:val="24"/>
          <w:szCs w:val="24"/>
        </w:rPr>
        <w:t xml:space="preserve">Geiger, M., Rees, F., Lilleholt, L., et al. (2021). Measuring the 7Cs of vaccination readiness. </w:t>
      </w:r>
      <w:r>
        <w:rPr>
          <w:rFonts w:ascii="Times New Roman" w:cs="Times New Roman" w:eastAsia="Times New Roman" w:hAnsi="Times New Roman"/>
          <w:i/>
          <w:iCs/>
          <w:sz w:val="24"/>
          <w:szCs w:val="24"/>
        </w:rPr>
        <w:t xml:space="preserve">European Journal of Psychological Assessment</w:t>
      </w:r>
      <w:r>
        <w:rPr>
          <w:rFonts w:ascii="Times New Roman" w:cs="Times New Roman" w:eastAsia="Times New Roman" w:hAnsi="Times New Roman"/>
          <w:sz w:val="24"/>
          <w:szCs w:val="24"/>
        </w:rPr>
        <w:t xml:space="preserve">, 38(4), 261–269.</w:t>
      </w:r>
    </w:p>
    <w:p>
      <w:pPr>
        <w:spacing w:after="200" w:line="360"/>
        <w:jc w:val="both"/>
      </w:pPr>
      <w:r>
        <w:rPr>
          <w:rFonts w:ascii="Times New Roman" w:cs="Times New Roman" w:eastAsia="Times New Roman" w:hAnsi="Times New Roman"/>
          <w:sz w:val="24"/>
          <w:szCs w:val="24"/>
        </w:rPr>
        <w:t xml:space="preserve">Kang, J. H., et al. (2024). COVID-19 Vaccine Injury Compensation Programs: A comparative analysis of 10 countries. </w:t>
      </w:r>
      <w:r>
        <w:rPr>
          <w:rFonts w:ascii="Times New Roman" w:cs="Times New Roman" w:eastAsia="Times New Roman" w:hAnsi="Times New Roman"/>
          <w:i/>
          <w:iCs/>
          <w:sz w:val="24"/>
          <w:szCs w:val="24"/>
        </w:rPr>
        <w:t xml:space="preserve">Journal of Korean Medical Science</w:t>
      </w:r>
      <w:r>
        <w:rPr>
          <w:rFonts w:ascii="Times New Roman" w:cs="Times New Roman" w:eastAsia="Times New Roman" w:hAnsi="Times New Roman"/>
          <w:sz w:val="24"/>
          <w:szCs w:val="24"/>
        </w:rPr>
        <w:t xml:space="preserve">, 39(15), e134. PMC11004775</w:t>
      </w:r>
    </w:p>
    <w:p>
      <w:pPr>
        <w:spacing w:after="200" w:line="360"/>
        <w:jc w:val="both"/>
      </w:pPr>
      <w:r>
        <w:rPr>
          <w:rFonts w:ascii="Times New Roman" w:cs="Times New Roman" w:eastAsia="Times New Roman" w:hAnsi="Times New Roman"/>
          <w:sz w:val="24"/>
          <w:szCs w:val="24"/>
        </w:rPr>
        <w:t xml:space="preserve">MacDonald, N. E., &amp; SAGE Working Group on Vaccine Hesitancy. (2015). Vaccine hesitancy: Definition, scope and determinants. </w:t>
      </w:r>
      <w:r>
        <w:rPr>
          <w:rFonts w:ascii="Times New Roman" w:cs="Times New Roman" w:eastAsia="Times New Roman" w:hAnsi="Times New Roman"/>
          <w:i/>
          <w:iCs/>
          <w:sz w:val="24"/>
          <w:szCs w:val="24"/>
        </w:rPr>
        <w:t xml:space="preserve">Vaccine</w:t>
      </w:r>
      <w:r>
        <w:rPr>
          <w:rFonts w:ascii="Times New Roman" w:cs="Times New Roman" w:eastAsia="Times New Roman" w:hAnsi="Times New Roman"/>
          <w:sz w:val="24"/>
          <w:szCs w:val="24"/>
        </w:rPr>
        <w:t xml:space="preserve">, 33(34), 4161–4164.</w:t>
      </w:r>
    </w:p>
    <w:p>
      <w:pPr>
        <w:spacing w:after="200" w:line="360"/>
        <w:jc w:val="both"/>
      </w:pPr>
      <w:r>
        <w:rPr>
          <w:rFonts w:ascii="Times New Roman" w:cs="Times New Roman" w:eastAsia="Times New Roman" w:hAnsi="Times New Roman"/>
          <w:sz w:val="24"/>
          <w:szCs w:val="24"/>
        </w:rPr>
        <w:t xml:space="preserve">Poddar, S., Samad, A. M., Mukherjee, R., Ganguly, N., &amp; Ghosh, S. (2022). CAVES: A dataset to facilitate explainable classification and summarization of concerns towards COVID vaccines. In </w:t>
      </w:r>
      <w:r>
        <w:rPr>
          <w:rFonts w:ascii="Times New Roman" w:cs="Times New Roman" w:eastAsia="Times New Roman" w:hAnsi="Times New Roman"/>
          <w:i/>
          <w:iCs/>
          <w:sz w:val="24"/>
          <w:szCs w:val="24"/>
        </w:rPr>
        <w:t xml:space="preserve">Proceedings of the 45th International ACM SIGIR Conference</w:t>
      </w:r>
      <w:r>
        <w:rPr>
          <w:rFonts w:ascii="Times New Roman" w:cs="Times New Roman" w:eastAsia="Times New Roman" w:hAnsi="Times New Roman"/>
          <w:sz w:val="24"/>
          <w:szCs w:val="24"/>
        </w:rPr>
        <w:t xml:space="preserve"> (pp. 3154–3164).</w:t>
      </w:r>
    </w:p>
    <w:p>
      <w:pPr>
        <w:spacing w:after="200" w:line="360"/>
        <w:jc w:val="both"/>
      </w:pPr>
      <w:r>
        <w:rPr>
          <w:rFonts w:ascii="Times New Roman" w:cs="Times New Roman" w:eastAsia="Times New Roman" w:hAnsi="Times New Roman"/>
          <w:sz w:val="24"/>
          <w:szCs w:val="24"/>
        </w:rPr>
        <w:t xml:space="preserve">SAGE Working Group on Vaccine Hesitancy. (2014). Report of the SAGE Working Group on Vaccine Hesitancy. WHO.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before="240" w:after="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2026-03-04T09:04:08.055Z</dcterms:created>
  <dcterms:modified xsi:type="dcterms:W3CDTF">2026-03-04T09:04:08.056Z</dcterms:modified>
</cp:coreProperties>
</file>

<file path=docProps/custom.xml><?xml version="1.0" encoding="utf-8"?>
<Properties xmlns="http://schemas.openxmlformats.org/officeDocument/2006/custom-properties" xmlns:vt="http://schemas.openxmlformats.org/officeDocument/2006/docPropsVTypes"/>
</file>