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jc w:val="center"/>
      </w:pPr>
      <w:r>
        <w:rPr>
          <w:rFonts w:ascii="Times New Roman" w:cs="Times New Roman" w:eastAsia="Times New Roman" w:hAnsi="Times New Roman"/>
          <w:b/>
          <w:bCs/>
          <w:color w:val="595959"/>
          <w:sz w:val="24"/>
          <w:szCs w:val="24"/>
        </w:rPr>
        <w:t xml:space="preserve">Discussion [DRAFT — v0.1.0, 2026-03-11]</w:t>
      </w:r>
    </w:p>
    <w:p>
      <w:pPr>
        <w:spacing w:after="80"/>
        <w:jc w:val="center"/>
      </w:pPr>
      <w:r>
        <w:rPr>
          <w:rFonts w:ascii="Times New Roman" w:cs="Times New Roman" w:eastAsia="Times New Roman" w:hAnsi="Times New Roman"/>
          <w:i/>
          <w:iCs/>
          <w:sz w:val="24"/>
          <w:szCs w:val="24"/>
        </w:rPr>
        <w:t xml:space="preserve">Dynamics of Vaccine Hesitancy Types Following a Vaccine Safety Crisis: A 7C Framework Analysis of Korean Social Media Discourse</w:t>
      </w:r>
    </w:p>
    <w:p>
      <w:pPr>
        <w:spacing w:after="400"/>
        <w:jc w:val="center"/>
      </w:pPr>
      <w:r>
        <w:rPr>
          <w:rFonts w:ascii="Times New Roman" w:cs="Times New Roman" w:eastAsia="Times New Roman" w:hAnsi="Times New Roman"/>
          <w:color w:val="C00000"/>
          <w:sz w:val="20"/>
          <w:szCs w:val="20"/>
        </w:rPr>
        <w:t xml:space="preserve">⚠  Numerical placeholders marked in red [XX] — to be filled after Korean batch results</w:t>
      </w:r>
    </w:p>
    <w:p>
      <w:pPr>
        <w:spacing w:before="360" w:after="200"/>
      </w:pPr>
      <w:r>
        <w:rPr>
          <w:rFonts w:ascii="Times New Roman" w:cs="Times New Roman" w:eastAsia="Times New Roman" w:hAnsi="Times New Roman"/>
          <w:b/>
          <w:bCs/>
          <w:sz w:val="28"/>
          <w:szCs w:val="28"/>
        </w:rPr>
        <w:t xml:space="preserve">4. Discussion</w:t>
      </w:r>
    </w:p>
    <w:p>
      <w:pPr>
        <w:spacing w:line="480" w:lineRule="auto" w:after="200"/>
        <w:ind/>
        <w:jc w:val="both"/>
      </w:pPr>
      <w:r>
        <w:rPr>
          <w:rFonts w:ascii="Times New Roman" w:hAnsi="Times New Roman"/>
          <w:sz w:val="24"/>
        </w:rPr>
        <w:t>This study examined how 7C-type distributions of vaccine hesitancy discourse changed before and after the February 23, 2026 Board of Audit and Inspection (BAI) audit disclosure across two Naver social media channels (blog posts and news article comments). Using a validated LLM-based classification pipeline applied to 5,973 Korean-language posts, we identified event-specific shifts in the co-occurrence architecture of vaccine hesitancy dimensions, with particular salience for the Confidence (C1)–Conspiracy (C7) cluster. In this section, we interpret the empirical findings in light of Korea's unique institutional context and discuss the theoretical and practical implications for public health communication.</w:t>
      </w:r>
    </w:p>
    <w:p>
      <w:pPr>
        <w:spacing w:before="280" w:after="160"/>
      </w:pPr>
      <w:r>
        <w:rPr>
          <w:rFonts w:ascii="Times New Roman" w:cs="Times New Roman" w:eastAsia="Times New Roman" w:hAnsi="Times New Roman"/>
          <w:b/>
          <w:bCs/>
          <w:sz w:val="26"/>
          <w:szCs w:val="26"/>
        </w:rPr>
        <w:t xml:space="preserve">4.1  Principal Findings</w:t>
      </w:r>
    </w:p>
    <w:p>
      <w:pPr>
        <w:spacing w:before="200" w:after="120"/>
      </w:pPr>
      <w:r>
        <w:rPr>
          <w:rFonts w:ascii="Times New Roman" w:cs="Times New Roman" w:eastAsia="Times New Roman" w:hAnsi="Times New Roman"/>
          <w:b/>
          <w:bCs/>
          <w:i/>
          <w:iCs/>
          <w:sz w:val="24"/>
          <w:szCs w:val="24"/>
        </w:rPr>
        <w:t xml:space="preserve">4.1.1  Event-Specific 7C Activation Profiles</w:t>
      </w:r>
    </w:p>
    <w:p>
      <w:pPr>
        <w:spacing w:line="480" w:lineRule="auto" w:after="200"/>
        <w:ind/>
        <w:jc w:val="both"/>
      </w:pPr>
      <w:r>
        <w:rPr>
          <w:rFonts w:ascii="Times New Roman" w:hAnsi="Times New Roman"/>
          <w:sz w:val="24"/>
        </w:rPr>
        <w:t xml:space="preserve">The empirical findings partially supported our primary hypothesis while revealing an unexpected and theoretically significant pattern in the Court discourse group. In the FM_Direct group — dominated by keywords directly linked to the BAI audit (foreign matter in vaccines, fungal contamination) — C1 prevalence increased dramatically from 21.6% pre-event to 75.0% post-event (+53.4 percentage points, OR=10.90, p&lt;0.001), confirming the predicted activation of institutional Confidence concerns. C7 showed a modest and non-significant increase (21.6% to 25.0%, OR=1.21, p=0.74), suggesting that the audit disclosure activated targeted institutional distrust (C1) far more strongly than generalized conspiracy beliefs (C7). </w:t>
        <w:br/>
        <w:t>The Court group exhibited a strikingly different and counter-hypothesized pattern: C7 decreased substantially from 39.6% pre-event to 13.8% post-event (-25.8 percentage points, OR=0.24, p&lt;0.001), while C1 surged from 6.0% to 45.9% (+39.9pp, OR=13.31, p&lt;0.001) and C4 increased from 0.7% to 4.1% (OR=6.05, p&lt;0.001). Contrary to the hypothesis of C1+C6+C7 co-activation, the SBS broadcast and KDCA appeal appear to have displaced rather than amplified conspiracy discourse. We interpret this pattern as a discourse specificization effect: the judicial event converted diffuse conspiratorial framing into targeted institutional distrust directed at a specific agency action (the KDCA appeal). The structural basis for the unexpectedly high pre-event C7 in the Court group is examined in Section 4.1.4. The Chronic group demonstrated sustained C1 co-elevation across both trigger events (+32.0pp, OR=4.88, p&lt;0.001), confirming its role as a background amplifier, with modest but significant increases also observed in C4 (+2.7pp, p=0.007) and C6 (+3.3pp, p&lt;0.001).</w:t>
      </w:r>
    </w:p>
    <w:p>
      <w:pPr>
        <w:spacing w:before="200" w:after="120"/>
      </w:pPr>
      <w:r>
        <w:rPr>
          <w:rFonts w:ascii="Times New Roman" w:cs="Times New Roman" w:eastAsia="Times New Roman" w:hAnsi="Times New Roman"/>
          <w:b/>
          <w:bCs/>
          <w:i/>
          <w:iCs/>
          <w:sz w:val="24"/>
          <w:szCs w:val="24"/>
        </w:rPr>
        <w:t xml:space="preserve">4.1.2  The C1–C7 Co-occurrence Pattern</w:t>
      </w:r>
    </w:p>
    <w:p>
      <w:pPr>
        <w:spacing w:line="480" w:lineRule="auto" w:after="200"/>
        <w:ind/>
        <w:jc w:val="both"/>
      </w:pPr>
      <w:r>
        <w:rPr>
          <w:rFonts w:ascii="Times New Roman" w:hAnsi="Times New Roman"/>
          <w:sz w:val="24"/>
        </w:rPr>
        <w:t>A central empirical finding of this study concerns the C1+C7 co-labeling rate and its differential trajectory across groups. In the FM_Direct group, C1+C7 co-occurrence increased from 17.6% pre-event to 24.4% post-event (1.4-fold), though this increase did not reach statistical significance (p=0.32), likely due to the small pre-event stratum (n=51). Structurally, the FM_Direct post-event C1+C7 architecture is notable: of 1,423 post-event posts, 50.6% carried C1 alone, 24.4% carried C1+C7 jointly, and only 0.6% carried C7 alone — indicating that C7 in this context is almost entirely embedded within C1, consistent with the proposed evidence-backed conspiracy catalysis mechanism (Section 4.3). In the Court and Chronic groups, C1+C7 co-occurrence increased significantly post-event (Court: 2.8% to 6.2%, 2.2-fold, p&lt;0.001; Chronic: 7.3% to 12.5%, 1.7-fold, p&lt;0.001), despite — or perhaps because of — the overall C7 decrease in the Court group, suggesting that residual C7 became more tightly coupled with C1 as the post-event discourse concretized around specific institutional failures.</w:t>
      </w:r>
    </w:p>
    <w:p>
      <w:pPr>
        <w:spacing w:before="200" w:after="120"/>
      </w:pPr>
      <w:r>
        <w:rPr>
          <w:rFonts w:ascii="Times New Roman" w:cs="Times New Roman" w:eastAsia="Times New Roman" w:hAnsi="Times New Roman"/>
          <w:b/>
          <w:bCs/>
          <w:i/>
          <w:iCs/>
          <w:sz w:val="24"/>
          <w:szCs w:val="24"/>
        </w:rPr>
        <w:t xml:space="preserve">4.1.3  Discourse Independence and the Amplifier Role of Chronic Distrust</w:t>
      </w:r>
    </w:p>
    <w:p>
      <w:pPr>
        <w:spacing w:line="480" w:lineRule="auto" w:after="200"/>
        <w:ind/>
        <w:jc w:val="both"/>
      </w:pPr>
      <w:r>
        <w:rPr>
          <w:rFonts w:ascii="Times New Roman" w:hAnsi="Times New Roman"/>
          <w:sz w:val="24"/>
        </w:rPr>
        <w:t>The two trigger events activated largely independent discourse pathways, with only approximately 5% overlap between FM_Direct and Court posts (confirmed by exploratory analysis prior to classification). This independence is reflected in their divergent 7C profiles: FM_Direct predominantly activated C1 (+53.4pp), while Court activated a C1 surge accompanied by C7 displacement and C4 increase. The Chronic group — spanning chronic baseline distrust keywords — co-elevated with both events, showing significant C1 increases (+32.0pp, p&lt;0.001) and modest but significant increases in C4 and C6. This pattern confirms the hypothesized amplifier role: pre-existing distrust does not simply persist as a static background but dynamically co-activates with event-specific hesitancy responses, modulating their intensity across the discourse ecosystem. This amplifier mechanism aligns with Betsch et al.'s (2018) conceptualization of Confidence as a cumulative attitudinal construct.</w:t>
      </w:r>
    </w:p>
    <w:p>
      <w:pPr>
        <w:spacing w:line="480" w:lineRule="auto" w:after="200"/>
        <w:ind/>
        <w:jc w:val="both"/>
      </w:pPr>
      <w:r>
        <w:rPr>
          <w:rFonts w:ascii="Times New Roman" w:hAnsi="Times New Roman"/>
          <w:sz w:val="24"/>
        </w:rPr>
        <w:t xml:space="preserve">A complementary metric supporting the compound distrust cluster interpretation is label density — the mean number of 7C dimensions simultaneously activated per post. Pre-event label density was similar across groups (FM_Direct: 0.51, Court: 0.51, Chronic: 0.39 dimensions per post), indicating that pre-event discourse was predominantly single-dimensional. Post-event, FM_Direct showed the most pronounced increase (0.51 to 1.13 dimensions per post, +121%), indicating that the BAI audit disclosure activated multi-dimensional hesitancy responses — not merely elevated concern on a single axis but simultaneous co-activation of multiple distrust dimensions. Court and Chronic also showed post-event density increases (0.51 to 0.67 and 0.39 to 0.75 respectively), consistent with the amplifier role of the Chronic group and the judicial concretization effect in the Court group. The post-event proportion of all-zero posts (no dimension active, reflecting non-hesitancy content) decreased markedly in FM_Direct (70.6% pre to 23.7% post), confirming that the audit disclosure substantially increased the hesitancy signal density of FM_Direct discourse as a whole — not only among already-hesitant posters but across the broader discourse community using these keywords.</w:t>
      </w:r>
    </w:p>
    <w:p>
      <w:pPr>
        <w:spacing w:line="480" w:lineRule="auto" w:after="200"/>
        <w:ind/>
        <w:jc w:val="both"/>
      </w:pPr>
      <w:r>
        <w:rPr>
          <w:rFonts w:ascii="Times New Roman" w:hAnsi="Times New Roman"/>
          <w:sz w:val="24"/>
          <w:b/>
          <w:i/>
        </w:rPr>
        <w:t xml:space="preserve">4.1.4  Global–Local C7 Displacement: Transnational Conspiracy Networks in Korean Vaccine Discourse</w:t>
      </w:r>
    </w:p>
    <w:p>
      <w:pPr>
        <w:spacing w:line="480" w:lineRule="auto" w:after="200"/>
        <w:ind/>
        <w:jc w:val="both"/>
      </w:pPr>
      <w:r>
        <w:rPr>
          <w:rFonts w:ascii="Times New Roman" w:hAnsi="Times New Roman"/>
          <w:sz w:val="24"/>
        </w:rPr>
        <w:t xml:space="preserve">Corpus-level analysis revealed that the high pre-event C7 prevalence in the Court group (39.6%) was substantially attributable to global anti-vaccine conspiracy content circulating on Naver Blog prior to the trigger events. Keyword-channel breakdown showed that the '코로나 백신 소송' (COVID-19 vaccine lawsuit) keyword in the blog channel carried a C7 prevalence of 54.7% pre-event, compared with 7.7% in the news comment channel for the same keyword. Qualitative inspection of rationale outputs confirmed that this blog content predominantly referenced global conspiratorial narratives — World Economic Forum, Chinese Communist Party involvement, David Ike, nanomaterial injection theories — rather than Korean-specific institutional critique. An estimated 53.8% of Court pre-event C7-positive posts reflected global rather than Korean-specific conspiracy framing. </w:t>
        <w:br/>
        <w:t xml:space="preserve">Critically, weekly time-series analysis reveals that the Court group's C7 was already in decline before either trigger event: C7 prevalence fell from 60.9% in the first collection week (December 29, 2025) to 23.3% by the week immediately preceding the BAI audit (February 16–22, 2026), a reduction of 37.6 percentage points occurring entirely within the pre-event window. This pre-event decline substantially predates both E1 and E2, indicating that the apparent post-event C7 decrease reflects at least two distinct processes: (a) the natural temporal dilution of early-collected global conspiracy content as the corpus accumulated more recent Korea-specific posts, and (b) the post-event compositional displacement effect, in which the surge of C1-dominant judicial discourse numerically overwhelmed residual C7 content. Causal attribution of the post-event C7 decrease to the trigger events themselves should therefore be made with caution; the discourse specificization effect described below is most reliably evidenced by the simultaneous C1 surge rather than the C7 decline per se. </w:t>
        <w:br/>
        <w:t>This finding has two implications. First, it demonstrates that Korean vaccine hesitancy discourse is not an isolated local phenomenon but is embedded within transnational anti-vaccine information networks — a finding with direct relevance for infodemic surveillance design. Second, it means that infoveillance systems drawing on broad keyword search must account for the co-circulation of global and local conspiracy content, as aggregate C7 metrics conflate qualitatively distinct phenomena requiring different communication responses.</w:t>
      </w:r>
    </w:p>
    <w:p>
      <w:pPr>
        <w:spacing w:line="480" w:lineRule="auto" w:after="200"/>
        <w:ind/>
        <w:jc w:val="both"/>
      </w:pPr>
      <w:r>
        <w:rPr>
          <w:rFonts w:ascii="Times New Roman" w:hAnsi="Times New Roman"/>
          <w:sz w:val="24"/>
        </w:rPr>
        <w:t xml:space="preserve">The discourse specificization effect observed in the Court group — where post-event C7 declined sharply as event-specific C1 surged — provides an important qualification to evidence-backed conspiracy catalysis theory. Not all official disclosures of institutional failure produce C7 amplification. When a judicial event provides a concrete, named institutional actor (the KDCA appeal) and a specific causal claim (vaccine-related myocardial infarction), the public discourse appears to redirect from diffuse conspiratorial framing toward targeted institutional accountability demands. This suggests a distinction between two types of official disclosure events: audit-type disclosures, which reveal systemic opacity and thereby feed C7 by validating 'they knew and concealed it' narratives; and judicial-type disclosures, which provide specific causal adjudication that channels distrust into C1 and C4 rather than C7. The temporal co-occurrence of both event types in the present study — with only nine days separating the BAI audit (February 23) and the SBS broadcast (March 2) — provides a unique natural experiment for observing these divergent mechanisms within the same population and time window.</w:t>
      </w:r>
    </w:p>
    <w:p>
      <w:pPr>
        <w:spacing w:line="480" w:lineRule="auto" w:after="200"/>
        <w:ind/>
        <w:jc w:val="both"/>
      </w:pPr>
      <w:r>
        <w:rPr>
          <w:rFonts w:ascii="Times New Roman" w:hAnsi="Times New Roman"/>
          <w:sz w:val="24"/>
        </w:rPr>
        <w:t xml:space="preserve">Channel-level analysis further illuminates the structural differentiation of Korean vaccine hesitancy discourse. Across all groups, Naver Blog and news comment channels exhibited markedly different pre-event 7C profiles: blog posts carried substantially higher pre-event C7 prevalence (32.0%) than news comments (4.5%), while news comments showed higher post-event C1 concentration (70.6% vs 53.8% for blog). This pattern suggests a functional channel specialization: Naver Blog operates as a circulation medium for global and diffuse conspiratorial content (C7-dominant), while news comments function as a reactive medium for event-specific institutional distrust (C1-dominant). The channel distinction has practical implications for infodemic surveillance: blog monitoring is essential for detecting background C7 infiltration from transnational networks, while news comment monitoring provides a more sensitive real-time signal for event-triggered C1 responses. A combined multi-channel approach — as implemented in the present study — is therefore preferable to single-channel monitoring for capturing the full architecture of vaccine hesitancy discourse.</w:t>
      </w:r>
    </w:p>
    <w:p>
      <w:pPr>
        <w:spacing w:before="280" w:after="160"/>
      </w:pPr>
      <w:r>
        <w:rPr>
          <w:rFonts w:ascii="Times New Roman" w:cs="Times New Roman" w:eastAsia="Times New Roman" w:hAnsi="Times New Roman"/>
          <w:b/>
          <w:bCs/>
          <w:sz w:val="26"/>
          <w:szCs w:val="26"/>
        </w:rPr>
        <w:t xml:space="preserve">4.2  The Institutional Capture of the 7C Communication Channel: A Structural Interpretation</w:t>
      </w:r>
    </w:p>
    <w:p>
      <w:pPr>
        <w:spacing w:line="480" w:lineRule="auto" w:after="200"/>
        <w:ind/>
        <w:jc w:val="both"/>
      </w:pPr>
      <w:r>
        <w:rPr>
          <w:rFonts w:ascii="Times New Roman" w:cs="Times New Roman" w:eastAsia="Times New Roman" w:hAnsi="Times New Roman"/>
          <w:sz w:val="24"/>
          <w:szCs w:val="24"/>
        </w:rPr>
        <w:t xml:space="preserve">The high and increasing C1+C7 co-occurrence observed in Korean vaccine discourse cannot be adequately explained by individual psychological processes alone. We propose that the observed pattern reflects a structural condition we term institutional capture of the 7C communication channel — a condition in which the institutional architecture responsible for vaccine safety governance systematically undermines the credibility of safety-related communications, thereby converting ordinary distrust (C1) into conspiracy-adjacent belief (C7).</w:t>
      </w:r>
    </w:p>
    <w:p>
      <w:pPr>
        <w:spacing w:before="200" w:after="120"/>
      </w:pPr>
      <w:r>
        <w:rPr>
          <w:rFonts w:ascii="Times New Roman" w:cs="Times New Roman" w:eastAsia="Times New Roman" w:hAnsi="Times New Roman"/>
          <w:b/>
          <w:bCs/>
          <w:i/>
          <w:iCs/>
          <w:sz w:val="24"/>
          <w:szCs w:val="24"/>
        </w:rPr>
        <w:t xml:space="preserve">4.2.1  The Surveillance–Compensation Structural Trap</w:t>
      </w:r>
    </w:p>
    <w:p>
      <w:pPr>
        <w:spacing w:line="480" w:lineRule="auto" w:after="200"/>
        <w:ind/>
        <w:jc w:val="both"/>
      </w:pPr>
      <w:r>
        <w:rPr>
          <w:rFonts w:ascii="Times New Roman" w:cs="Times New Roman" w:eastAsia="Times New Roman" w:hAnsi="Times New Roman"/>
          <w:sz w:val="24"/>
          <w:szCs w:val="24"/>
        </w:rPr>
        <w:t xml:space="preserve">In most high-income countries, vaccine pharmacovigilance and injury compensation are institutionally separated. Active surveillance systems (e.g., the US v-safe program, the UK Yellow Card scheme) are operated independently of compensation adjudication bodies, preserving the epistemic independence of safety signal generation. In South Korea, however, the Korea Disease Control and Prevention Agency (KDCA) simultaneously administers passive safety surveillance, compensation review, and public communication on vaccine safety — functions whose co-location creates an inherent credibility deficit.</w:t>
      </w:r>
    </w:p>
    <w:p>
      <w:pPr>
        <w:spacing w:line="480" w:lineRule="auto" w:after="200"/>
        <w:ind/>
        <w:jc w:val="both"/>
      </w:pPr>
      <w:r>
        <w:rPr>
          <w:rFonts w:ascii="Times New Roman" w:cs="Times New Roman" w:eastAsia="Times New Roman" w:hAnsi="Times New Roman"/>
          <w:sz w:val="24"/>
          <w:szCs w:val="24"/>
        </w:rPr>
        <w:t xml:space="preserve">The consequence of this co-location is what we term contextual non-acceptance: any KDCA scientific statement on vaccine safety is structurally interpreted through the lens of its compensation-adjudicating role, such that evidence of safety is received as institutional self-interest rather than objective assessment. This dynamic is not specific to bad-faith actors — it is a rational Bayesian inference on the part of the public when the same institution generates both safety evidence and compensation decisions.</w:t>
      </w:r>
    </w:p>
    <w:p>
      <w:pPr>
        <w:spacing w:before="200" w:after="120"/>
      </w:pPr>
      <w:r>
        <w:rPr>
          <w:rFonts w:ascii="Times New Roman" w:cs="Times New Roman" w:eastAsia="Times New Roman" w:hAnsi="Times New Roman"/>
          <w:b/>
          <w:bCs/>
          <w:i/>
          <w:iCs/>
          <w:sz w:val="24"/>
          <w:szCs w:val="24"/>
        </w:rPr>
        <w:t xml:space="preserve">4.2.2  The Evidence Vacuum and Judicial Substitution</w:t>
      </w:r>
    </w:p>
    <w:p>
      <w:pPr>
        <w:spacing w:line="480" w:lineRule="auto" w:after="200"/>
        <w:ind/>
        <w:jc w:val="both"/>
      </w:pPr>
      <w:r>
        <w:rPr>
          <w:rFonts w:ascii="Times New Roman" w:cs="Times New Roman" w:eastAsia="Times New Roman" w:hAnsi="Times New Roman"/>
          <w:sz w:val="24"/>
          <w:szCs w:val="24"/>
        </w:rPr>
        <w:t xml:space="preserve">The absence of a robust active surveillance infrastructure compounded this structural trap. Without prospective cohort data, signal detection studies, or population-level pharmacoepidemiological analyses, the KDCA lacked the evidentiary capacity to respond to causality claims with scientific authority. Into this evidence vacuum, the judicial system was called upon to adjudicate vaccine causality — a role for which courts are institutionally ill-equipped, as legal standards of causality (presumption, balance of probabilities) diverge fundamentally from epidemiological standards (attributable risk, confidence intervals, dose-response relationships).</w:t>
      </w:r>
    </w:p>
    <w:p>
      <w:pPr>
        <w:spacing w:line="480" w:lineRule="auto" w:after="200"/>
        <w:ind/>
        <w:jc w:val="both"/>
      </w:pPr>
      <w:r>
        <w:rPr>
          <w:rFonts w:ascii="Times New Roman" w:cs="Times New Roman" w:eastAsia="Times New Roman" w:hAnsi="Times New Roman"/>
          <w:sz w:val="24"/>
          <w:szCs w:val="24"/>
        </w:rPr>
        <w:t xml:space="preserve">The March 2026 SBS broadcast reporting the first judicially recognized vaccine-related myocardial infarction death — and the subsequent KDCA appeal — crystallized this dynamic. The court's presumption-based ruling, issued in the absence of KDCA-generated active surveillance data, was publicly received as scientific validation of vaccine harm. The KDCA's appeal, in turn, was interpreted not as a legitimate scientific objection but as institutional self-protection, further eroding C1 and catalyzing C7.</w:t>
      </w:r>
    </w:p>
    <w:p>
      <w:pPr>
        <w:spacing w:line="480" w:lineRule="auto" w:after="200"/>
        <w:ind/>
        <w:jc w:val="both"/>
      </w:pPr>
      <w:r>
        <w:rPr>
          <w:rFonts w:ascii="Times New Roman" w:hAnsi="Times New Roman"/>
          <w:sz w:val="24"/>
        </w:rPr>
        <w:t xml:space="preserve">A further consequence of the evidence vacuum is the qualitative transformation of the Calculation dimension (C4). In the original 7C framework, C4 denotes exploratory cost-benefit analysis in which individuals weigh the personal risks and benefits of vaccination using available scientific data (Betsch et al., 2018). In the Korean context of 2026, this function has undergone a structural shift: as KDCA-generated safety data became contextually non-credible — perceived as compensation-motivated rather than scientifically motivated — the public's C4 calculation progressively excluded official agency data as a valid input variable. In its place, audit disclosures, judicial rulings, and community-sourced injury accounts assumed the role of primary evidence. We term this shift the C1→C4 cascade: when institutional Confidence collapses (C1), Calculation does not cease but reconfigures around non-institutional information sources, producing what we characterize as defensive or judgmental calculation — oriented not toward vaccination decision-making but toward causal attribution, systemic verification, and identification of legal remedies. This reconfigured C4 is empirically distinguishable from its exploratory antecedent: it is predicted to co-occur with C1 and C7 at substantially higher rates, and to reference judicial or audit authority rather than epidemiological evidence.</w:t>
      </w:r>
    </w:p>
    <w:p>
      <w:pPr>
        <w:spacing w:before="200" w:after="120"/>
      </w:pPr>
      <w:r>
        <w:rPr>
          <w:rFonts w:ascii="Times New Roman" w:cs="Times New Roman" w:eastAsia="Times New Roman" w:hAnsi="Times New Roman"/>
          <w:b/>
          <w:bCs/>
          <w:i/>
          <w:iCs/>
          <w:sz w:val="24"/>
          <w:szCs w:val="24"/>
        </w:rPr>
        <w:t xml:space="preserve">4.2.3  The Self-Reinforcing Distrust Loop</w:t>
      </w:r>
    </w:p>
    <w:p>
      <w:pPr>
        <w:spacing w:line="480" w:lineRule="auto" w:after="200"/>
        <w:ind/>
        <w:jc w:val="both"/>
      </w:pPr>
      <w:r>
        <w:rPr>
          <w:rFonts w:ascii="Times New Roman" w:cs="Times New Roman" w:eastAsia="Times New Roman" w:hAnsi="Times New Roman"/>
          <w:sz w:val="24"/>
          <w:szCs w:val="24"/>
        </w:rPr>
        <w:t xml:space="preserve">These dynamics constitute a closed, self-reinforcing loop that operates independently of individual vaccination decisions:</w:t>
      </w:r>
    </w:p>
    <w:p>
      <w:pPr>
        <w:spacing w:line="240" w:lineRule="auto" w:after="80"/>
        <w:ind w:left="1440"/>
      </w:pPr>
      <w:r>
        <w:rPr>
          <w:rFonts w:ascii="Times New Roman" w:cs="Times New Roman" w:eastAsia="Times New Roman" w:hAnsi="Times New Roman"/>
          <w:sz w:val="24"/>
          <w:szCs w:val="24"/>
        </w:rPr>
        <w:t xml:space="preserve">(1)  KDCA performs surveillance + compensation simultaneously</w:t>
      </w:r>
    </w:p>
    <w:p>
      <w:pPr>
        <w:spacing w:line="240" w:lineRule="auto" w:after="80"/>
        <w:ind w:left="1440"/>
      </w:pPr>
      <w:r>
        <w:rPr>
          <w:rFonts w:ascii="Times New Roman" w:cs="Times New Roman" w:eastAsia="Times New Roman" w:hAnsi="Times New Roman"/>
          <w:sz w:val="24"/>
          <w:szCs w:val="24"/>
        </w:rPr>
        <w:t xml:space="preserve">(2)  Active surveillance capacity atrophies → evidence vacuum</w:t>
      </w:r>
    </w:p>
    <w:p>
      <w:pPr>
        <w:spacing w:line="240" w:lineRule="auto" w:after="80"/>
        <w:ind w:left="1440"/>
      </w:pPr>
      <w:r>
        <w:rPr>
          <w:rFonts w:ascii="Times New Roman" w:cs="Times New Roman" w:eastAsia="Times New Roman" w:hAnsi="Times New Roman"/>
          <w:sz w:val="24"/>
          <w:szCs w:val="24"/>
        </w:rPr>
        <w:t xml:space="preserve">(3)  Courts fill the vacuum via presumption-based causality rulings</w:t>
      </w:r>
    </w:p>
    <w:p>
      <w:pPr>
        <w:spacing w:line="240" w:lineRule="auto" w:after="80"/>
        <w:ind w:left="1440"/>
      </w:pPr>
      <w:r>
        <w:rPr>
          <w:rFonts w:ascii="Times New Roman" w:cs="Times New Roman" w:eastAsia="Times New Roman" w:hAnsi="Times New Roman"/>
          <w:sz w:val="24"/>
          <w:szCs w:val="24"/>
        </w:rPr>
        <w:t xml:space="preserve">(4)  Judicial rulings are received as scientific authority (C7 legitimation)</w:t>
      </w:r>
    </w:p>
    <w:p>
      <w:pPr>
        <w:spacing w:line="240" w:lineRule="auto" w:after="80"/>
        <w:ind w:left="1440"/>
      </w:pPr>
      <w:r>
        <w:rPr>
          <w:rFonts w:ascii="Times New Roman" w:cs="Times New Roman" w:eastAsia="Times New Roman" w:hAnsi="Times New Roman"/>
          <w:sz w:val="24"/>
          <w:szCs w:val="24"/>
        </w:rPr>
        <w:t xml:space="preserve">(5)  KDCA scientific rebuttals are discounted as self-interested (C1 deepening)</w:t>
      </w:r>
    </w:p>
    <w:p>
      <w:pPr>
        <w:spacing w:line="240" w:lineRule="auto" w:after="200"/>
        <w:ind w:left="1440"/>
      </w:pPr>
      <w:r>
        <w:rPr>
          <w:rFonts w:ascii="Times New Roman" w:cs="Times New Roman" w:eastAsia="Times New Roman" w:hAnsi="Times New Roman"/>
          <w:sz w:val="24"/>
          <w:szCs w:val="24"/>
        </w:rPr>
        <w:t xml:space="preserve">(6)  Public demand for active surveillance grows, but institutional identity remains compensation-centered → return to (1)</w:t>
      </w:r>
    </w:p>
    <w:p>
      <w:pPr>
        <w:spacing w:line="480" w:lineRule="auto" w:after="200"/>
        <w:ind/>
        <w:jc w:val="both"/>
      </w:pPr>
      <w:r>
        <w:rPr>
          <w:rFonts w:ascii="Times New Roman" w:cs="Times New Roman" w:eastAsia="Times New Roman" w:hAnsi="Times New Roman"/>
          <w:sz w:val="24"/>
          <w:szCs w:val="24"/>
        </w:rPr>
        <w:t xml:space="preserve">This loop predicts that in societies where surveillance and compensation are institutionally co-located, C1 and C7 will be structurally co-produced — not as a psychological accident but as a necessary consequence of the institutional architecture. The present data, showing </w:t>
      </w:r>
    </w:p>
    <w:p>
      <w:pPr>
        <w:spacing w:line="480" w:lineRule="auto" w:after="20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color w:val="C00000"/>
          <w:sz w:val="24"/>
          <w:szCs w:val="24"/>
        </w:rPr>
        <w:t xml:space="preserve">[X.X-fold]</w:t>
      </w:r>
      <w:r>
        <w:rPr>
          <w:rFonts w:ascii="Times New Roman" w:cs="Times New Roman" w:eastAsia="Times New Roman" w:hAnsi="Times New Roman"/>
          <w:sz w:val="24"/>
          <w:szCs w:val="24"/>
        </w:rPr>
        <w:t xml:space="preserve"> post-event increase in C1+C7 co-occurrence following an official government audit confirming safety management failures, provide the first empirical evidence consistent with this structural prediction in a real-world setting.</w:t>
      </w:r>
    </w:p>
    <w:p>
      <w:pPr>
        <w:spacing w:before="280" w:after="160"/>
      </w:pPr>
      <w:r>
        <w:rPr>
          <w:rFonts w:ascii="Times New Roman" w:cs="Times New Roman" w:eastAsia="Times New Roman" w:hAnsi="Times New Roman"/>
          <w:b/>
          <w:bCs/>
          <w:sz w:val="26"/>
          <w:szCs w:val="26"/>
        </w:rPr>
        <w:t xml:space="preserve">4.3  The BAI Audit as Evidence-Backed Conspiracy Catalyst</w:t>
      </w:r>
    </w:p>
    <w:p>
      <w:pPr>
        <w:spacing w:line="480" w:lineRule="auto" w:after="200"/>
        <w:ind/>
        <w:jc w:val="both"/>
      </w:pPr>
      <w:r>
        <w:rPr>
          <w:rFonts w:ascii="Times New Roman" w:hAnsi="Times New Roman"/>
          <w:sz w:val="24"/>
        </w:rPr>
        <w:t>The 7C framework's Conspiracy dimension (C7) was originally conceptualized as a belief in malicious intent unsupported by evidence — a departure from rational risk assessment into the domain of unfalsifiable narrative (Geiger et al., 2021). The present findings complicate this picture in two directions. In the FM_Direct group, the BAI audit disclosure provided official documentary support for the narrative that 'the government knew and concealed it': 1,285 foreign matter reports were confirmed to have been withheld from the Ministry of Food and Drug Safety, and 1.31 million doses were administered without standard lot release testing. In this context, C7 narratives acquired evidentiary scaffolding from the government's own audit — a process we term evidence-backed conspiracy catalysis. Importantly, however, the FM_Direct data show that the primary post-event response was C1 activation (21.6% to 75.0%) rather than C7 amplification (21.6% to 25.0%, ns), suggesting that official confirmation of institutional failure drives targeted institutional distrust more powerfully than generalized conspiracy belief. C7 in the FM_Direct post-event corpus was almost entirely co-embedded with C1 (C1+C7: 24.4%; C7 alone: 0.6%), consistent with conspiracy belief functioning as an extension of — rather than alternative to — institutional distrust.</w:t>
      </w:r>
    </w:p>
    <w:p>
      <w:pPr>
        <w:spacing w:line="480" w:lineRule="auto" w:after="200"/>
        <w:ind/>
        <w:jc w:val="both"/>
      </w:pPr>
      <w:r>
        <w:rPr>
          <w:rFonts w:ascii="Times New Roman" w:hAnsi="Times New Roman"/>
          <w:sz w:val="24"/>
        </w:rPr>
        <w:t xml:space="preserve">We term this dynamic evidence-backed conspiracy catalysis: a process by which official disclosures of institutional failure provide evidentiary scaffolding for pre-existing conspiracy narratives, lowering the psychological cost of transitioning from C1 (distrust) to C7 (conspiratorial belief). This distinction matters for public health communication: conventional conspiracy inoculation strategies (Lewandowsky &amp; van der Linden, 2021) target psychologically motivated reasoning against contrary evidence. Evidence-backed conspiracy catalysis represents a different challenge — one in which the evidence itself is the vector, and inoculation against the narrative risks appearing to deny the underlying institutional failures. </w:t>
        <w:br/>
        <w:t>The Court group, by contrast, illustrates a second mechanism: discourse specificization. When a judicial event provides a named institutional actor and a specific causal claim, diffuse conspiratorial framing is displaced by targeted institutional distrust (C1) and defensive calculation (C4). The pre-event Court C7 was disproportionately composed of global anti-vaccine conspiracy content (transnational networks referencing WEF, CCP, nanomaterials), which was numerically overwhelmed by Korea-specific C1 content following the SBS broadcast. Together, these two mechanisms — catalysis in FM_Direct, specificization in Court — suggest that the relationship between institutional disclosure events and C7 is not uniform but depends critically on the type of disclosure: audit-type events feed C7 by validating opacity narratives, while judicial-type events channel distrust into C1 and C4 by providing concrete, attributable institutional actors.</w:t>
      </w:r>
    </w:p>
    <w:p>
      <w:pPr>
        <w:spacing w:line="480" w:lineRule="auto" w:after="200"/>
        <w:ind/>
        <w:jc w:val="both"/>
      </w:pPr>
      <w:r>
        <w:rPr>
          <w:rFonts w:ascii="Times New Roman" w:cs="Times New Roman" w:eastAsia="Times New Roman" w:hAnsi="Times New Roman"/>
          <w:sz w:val="24"/>
          <w:szCs w:val="24"/>
        </w:rPr>
        <w:t xml:space="preserve">The appropriate institutional response in this context is not communication strategy revision but structural accountability: only genuine evidence generation through independent active surveillance can interrupt the C1→C7 transition pathway. As long as the KDCA cannot produce prospective pharmacoepidemiological data that stands independently of its compensation function, its communications will remain structurally non-credible regardless of content.</w:t>
      </w:r>
    </w:p>
    <w:p>
      <w:pPr>
        <w:spacing w:before="280" w:after="160"/>
      </w:pPr>
      <w:r>
        <w:rPr>
          <w:rFonts w:ascii="Times New Roman" w:cs="Times New Roman" w:eastAsia="Times New Roman" w:hAnsi="Times New Roman"/>
          <w:b/>
          <w:bCs/>
          <w:sz w:val="26"/>
          <w:szCs w:val="26"/>
        </w:rPr>
        <w:t xml:space="preserve">4.4  Implications for the 7C Framework</w:t>
      </w:r>
    </w:p>
    <w:p>
      <w:pPr>
        <w:spacing w:line="480" w:lineRule="auto" w:after="200"/>
        <w:ind/>
        <w:jc w:val="both"/>
      </w:pPr>
      <w:r>
        <w:rPr>
          <w:rFonts w:ascii="Times New Roman" w:hAnsi="Times New Roman"/>
          <w:sz w:val="24"/>
        </w:rPr>
        <w:t>The 7C framework was developed primarily as a model of individual psychological antecedents of vaccination behavior (Geiger et al., 2021; Betsch et al., 2018). The present findings suggest that in contexts of sustained institutional failure, the 7C dimensions are not solely psychological states but can be jointly produced by institutional architecture. Specifically, our findings suggest four extensions to the existing framework.</w:t>
      </w:r>
    </w:p>
    <w:p>
      <w:pPr>
        <w:spacing w:line="480" w:lineRule="auto" w:after="200"/>
        <w:ind/>
        <w:jc w:val="both"/>
      </w:pPr>
      <w:r>
        <w:rPr>
          <w:rFonts w:ascii="Times New Roman" w:cs="Times New Roman" w:eastAsia="Times New Roman" w:hAnsi="Times New Roman"/>
          <w:sz w:val="24"/>
          <w:szCs w:val="24"/>
        </w:rPr>
        <w:t xml:space="preserve">First, institutional antecedents of C1 and C7 co-occurrence: the surveillance–compensation co-location creates a structural precondition for C1+C7 co-production that is independent of individual risk perception. Future applications of the 7C framework in institutional trust contexts should consider measuring institutional structure variables alongside individual psychological constructs.</w:t>
      </w:r>
    </w:p>
    <w:p>
      <w:pPr>
        <w:spacing w:line="480" w:lineRule="auto" w:after="200"/>
        <w:ind/>
        <w:jc w:val="both"/>
      </w:pPr>
      <w:r>
        <w:rPr>
          <w:rFonts w:ascii="Times New Roman" w:cs="Times New Roman" w:eastAsia="Times New Roman" w:hAnsi="Times New Roman"/>
          <w:sz w:val="24"/>
          <w:szCs w:val="24"/>
        </w:rPr>
        <w:t xml:space="preserve">Second, the judicial authority transfer variable: in the absence of credible institutional evidence generation, publics may transfer scientific authority to judicial bodies. This transfer — measurable as increased reliance on court rulings over agency communications as reference points for vaccine safety — represents a novel antecedent of C7 not captured by the original framework. Possible operationalization: 'I trust the court's judgment on vaccine safety more than KDCA's official position' as a survey item predicting C7 scores.</w:t>
      </w:r>
    </w:p>
    <w:p>
      <w:pPr>
        <w:spacing w:line="480" w:lineRule="auto" w:after="200"/>
        <w:ind/>
        <w:jc w:val="both"/>
      </w:pPr>
      <w:r>
        <w:rPr>
          <w:rFonts w:ascii="Times New Roman" w:cs="Times New Roman" w:eastAsia="Times New Roman" w:hAnsi="Times New Roman"/>
          <w:sz w:val="24"/>
          <w:szCs w:val="24"/>
        </w:rPr>
        <w:t xml:space="preserve">Third, evidence-backed conspiracy as a distinct C7 subtype: standard C7 measurement instruments (e.g., 5C/7C scales) do not distinguish between conspiracy beliefs grounded in official disclosures of institutional failure and those lacking any evidentiary basis. This distinction has direct implications for intervention design: the former requires institutional repair, while the latter is amenable to psychological inoculation approaches.</w:t>
      </w:r>
    </w:p>
    <w:p>
      <w:pPr>
        <w:spacing w:line="480" w:lineRule="auto" w:after="200"/>
        <w:ind/>
        <w:jc w:val="both"/>
      </w:pPr>
      <w:r>
        <w:rPr>
          <w:rFonts w:ascii="Times New Roman" w:hAnsi="Times New Roman"/>
          <w:sz w:val="24"/>
        </w:rPr>
        <w:t xml:space="preserve">Fourth, the temporal transformation of C4 — from exploratory to defensive calculation: standard 7C instruments measure C4 as individual cost-benefit reasoning at the point of vaccination decision. The present findings suggest that in post-crisis contexts, C4 may undergo a qualitative transformation in which the information inputs, psychological motivation, and behavioral outputs of the calculative process are fundamentally altered. Specifically, when institutional Confidence (C1) collapses and official data loses contextual credibility, C4 reconfigures from exploratory uncertainty management toward defensive system verification — using judicial, audit, and community sources rather than epidemiological evidence as its primary inputs. This transformed C4 is characterized by co-occurrence with C1 and C7, and by orientation toward causal attribution and legal remedy rather than prospective vaccination decisions. Future 7C measurement instruments applied in post-crisis institutional trust contexts should consider distinguishing between these two qualitatively distinct C4 subtypes.</w:t>
      </w:r>
    </w:p>
    <w:p>
      <w:pPr>
        <w:spacing w:before="280" w:after="160"/>
      </w:pPr>
      <w:r>
        <w:rPr>
          <w:rFonts w:ascii="Times New Roman" w:cs="Times New Roman" w:eastAsia="Times New Roman" w:hAnsi="Times New Roman"/>
          <w:b/>
          <w:bCs/>
          <w:sz w:val="26"/>
          <w:szCs w:val="26"/>
        </w:rPr>
        <w:t xml:space="preserve">4.5  Practical Implications for Public Health Communication</w:t>
      </w:r>
    </w:p>
    <w:p>
      <w:pPr>
        <w:spacing w:line="480" w:lineRule="auto" w:after="200"/>
        <w:ind/>
        <w:jc w:val="both"/>
      </w:pPr>
      <w:r>
        <w:rPr>
          <w:rFonts w:ascii="Times New Roman" w:cs="Times New Roman" w:eastAsia="Times New Roman" w:hAnsi="Times New Roman"/>
          <w:sz w:val="24"/>
          <w:szCs w:val="24"/>
        </w:rPr>
        <w:t xml:space="preserve">The structural analysis presented above has direct implications for KDCA communication strategy in the aftermath of the BAI audit disclosure. Three practical recommendations follow from the empirical and theoretical findings.</w:t>
      </w:r>
    </w:p>
    <w:p>
      <w:pPr>
        <w:spacing w:line="480" w:lineRule="auto" w:after="200"/>
        <w:ind/>
        <w:jc w:val="both"/>
      </w:pPr>
      <w:r>
        <w:rPr>
          <w:rFonts w:ascii="Times New Roman" w:cs="Times New Roman" w:eastAsia="Times New Roman" w:hAnsi="Times New Roman"/>
          <w:sz w:val="24"/>
          <w:szCs w:val="24"/>
        </w:rPr>
        <w:t xml:space="preserve">First, message credibility requires structural precondition. Communication interventions targeting C1 (e.g., corrective messages about vaccine safety, transparent disclosure of adverse event data) will have limited efficacy as long as the KDCA simultaneously adjudicates compensation. Structural separation of active surveillance from compensation functions — as practiced in the United States (VAERS/v-safe vs. CICP) and the United Kingdom (Yellow Card vs. Vaccine Damage Payment Scheme) — is a prerequisite for restoring contextual acceptance of safety communications.</w:t>
      </w:r>
    </w:p>
    <w:p>
      <w:pPr>
        <w:spacing w:line="480" w:lineRule="auto" w:after="200"/>
        <w:ind/>
        <w:jc w:val="both"/>
      </w:pPr>
      <w:r>
        <w:rPr>
          <w:rFonts w:ascii="Times New Roman" w:cs="Times New Roman" w:eastAsia="Times New Roman" w:hAnsi="Times New Roman"/>
          <w:sz w:val="24"/>
          <w:szCs w:val="24"/>
        </w:rPr>
        <w:t xml:space="preserve">Second, acknowledge the evidentiary legitimacy of distrust. In the context of evidence-backed conspiracy catalysis, communication strategies that deny or minimize the BAI audit findings will accelerate C7 formation. Proactive acknowledgment of institutional failures, paired with concrete structural remediation commitments, is more likely to interrupt the C1→C7 transition than defensive messaging.</w:t>
      </w:r>
    </w:p>
    <w:p>
      <w:pPr>
        <w:spacing w:line="480" w:lineRule="auto" w:after="200"/>
        <w:ind/>
        <w:jc w:val="both"/>
      </w:pPr>
      <w:r>
        <w:rPr>
          <w:rFonts w:ascii="Times New Roman" w:cs="Times New Roman" w:eastAsia="Times New Roman" w:hAnsi="Times New Roman"/>
          <w:sz w:val="24"/>
          <w:szCs w:val="24"/>
        </w:rPr>
        <w:t xml:space="preserve">Third, group-specific communication targeting. The distinct 7C profiles of FM_Direct (C1+C7) and Court (C1+C6+C7) groups indicate that one-size-fits-all communication is insufficient. FM_Direct audiences require transparency on safety management procedures and independent surveillance capacity; Court audiences additionally require acknowledgment of the tension between judicial presumption standards and epidemiological causality standards, and a credible commitment to providing the scientific evidence the judiciary currently lacks.</w:t>
      </w:r>
    </w:p>
    <w:p>
      <w:pPr>
        <w:spacing w:line="480" w:lineRule="auto" w:after="200"/>
        <w:ind/>
        <w:jc w:val="both"/>
      </w:pPr>
      <w:r>
        <w:rPr>
          <w:rFonts w:ascii="Times New Roman" w:hAnsi="Times New Roman"/>
          <w:sz w:val="24"/>
        </w:rPr>
        <w:t xml:space="preserve">Fourth, monitor the locus of scientific authority. A critical precondition for effective public health communication is that the communicating institution is recognized as a legitimate scientific authority by its audience. The structural dynamics documented in this study suggest that this precondition may no longer hold for the KDCA in the domain of vaccine safety. We recommend systematic monitoring of what we term the locus of scientific authority — the source that the public recognizes as the most credible arbiter of vaccine safety information. A simple survey item operationalizing this construct might ask: 'When evaluating the safety of COVID-19 vaccines, whose judgment do you find most credible?' with response options including the KDCA, the Board of Audit and Inspection, the judiciary, independent academic researchers, international health organizations (WHO/CDC), and online community sources. Longitudinal tracking of shifts in this distribution would provide a sensitive early indicator of institutional credibility erosion and recovery, and would directly inform targeting of communication interventions.</w:t>
      </w:r>
    </w:p>
    <w:p>
      <w:pPr>
        <w:spacing w:before="280" w:after="160"/>
      </w:pPr>
      <w:r>
        <w:rPr>
          <w:rFonts w:ascii="Times New Roman" w:cs="Times New Roman" w:eastAsia="Times New Roman" w:hAnsi="Times New Roman"/>
          <w:b/>
          <w:bCs/>
          <w:sz w:val="26"/>
          <w:szCs w:val="26"/>
        </w:rPr>
        <w:t xml:space="preserve">4.6  Limitations</w:t>
      </w:r>
    </w:p>
    <w:p>
      <w:pPr>
        <w:spacing w:line="480" w:lineRule="auto" w:after="200"/>
        <w:ind/>
        <w:jc w:val="both"/>
      </w:pPr>
      <w:r>
        <w:rPr>
          <w:rFonts w:ascii="Times New Roman" w:hAnsi="Times New Roman"/>
          <w:sz w:val="24"/>
        </w:rPr>
        <w:t>Several limitations of this study warrant acknowledgment. First, the data are drawn from two Naver channels — blog posts and news article comments — and do not include Naver Café, which constitutes a quantitatively substantial portion of vaccine-related discourse on the platform. Café was excluded because the Naver Search API does not return publication timestamps for Café articles, rendering temporal analysis impossible. As the central research question concerns event-specific discourse changes before and after two discrete trigger events, temporal ordering is analytically indispensable and this exclusion was unavoidable given current API constraints. It is worth noting that Naver Café hosts several organized vaccine injury advocacy communities (e.g., 코백회-affiliated groups), which are disproportionately active in Compliance (C6) and Conspiracy (C7) discourse. The exclusion of Café may therefore result in a conservative underestimation of C6 and C7 prevalence relative to the full Naver discourse ecosystem. Furthermore, the present findings do not represent discourse on platforms such as YouTube, X (formerly Twitter), or KakaoTalk open channels, and the extent to which Naver blog and news comment discourse reflects broader public opinion requires validation against multi-platform data.</w:t>
      </w:r>
    </w:p>
    <w:p>
      <w:pPr>
        <w:spacing w:line="480" w:lineRule="auto" w:after="200"/>
        <w:ind/>
        <w:jc w:val="both"/>
      </w:pPr>
      <w:r>
        <w:rPr>
          <w:rFonts w:ascii="Times New Roman" w:cs="Times New Roman" w:eastAsia="Times New Roman" w:hAnsi="Times New Roman"/>
          <w:sz w:val="24"/>
          <w:szCs w:val="24"/>
        </w:rPr>
        <w:t xml:space="preserve">Second, the LLM classification pipeline achieved a macro F1 of 0.585 on the English CAVES benchmark (v1.1.0, claude-haiku-4-5-20251001), with particularly low performance on C4 (F1 = 0.393) and C7 (F1 = 0.403). Korean-language classification performance, reported against a 100-item human-coded gold standard (inter-rater kappa = </w:t>
      </w:r>
    </w:p>
    <w:p>
      <w:pPr>
        <w:spacing w:line="480" w:lineRule="auto" w:after="200"/>
        <w:jc w:val="both"/>
      </w:pPr>
      <w:r>
        <w:rPr>
          <w:rFonts w:ascii="Times New Roman" w:cs="Times New Roman" w:eastAsia="Times New Roman" w:hAnsi="Times New Roman"/>
          <w:b/>
          <w:bCs/>
          <w:color w:val="C00000"/>
          <w:sz w:val="24"/>
          <w:szCs w:val="24"/>
        </w:rPr>
        <w:t xml:space="preserve">[XX]</w:t>
      </w:r>
      <w:r>
        <w:rPr>
          <w:rFonts w:ascii="Times New Roman" w:cs="Times New Roman" w:eastAsia="Times New Roman" w:hAnsi="Times New Roman"/>
          <w:sz w:val="24"/>
          <w:szCs w:val="24"/>
        </w:rPr>
        <w:t xml:space="preserve">), reflects comparable limitations. The C1↔C7 boundary ambiguity identified in the English error analysis is expected to persist in Korean, as the linguistic markers distinguishing strong institutional distrust from explicit conspiracy claims are similarly ambiguous in short social media texts. This limitation is directionally conservative for our main hypothesis: observed C1+C7 co-occurrence rates may underestimate true co-occurrence if C7 precision is reduced by boundary misclassification.</w:t>
      </w:r>
    </w:p>
    <w:p>
      <w:pPr>
        <w:spacing w:line="480" w:lineRule="auto" w:after="200"/>
        <w:ind/>
        <w:jc w:val="both"/>
      </w:pPr>
      <w:r>
        <w:rPr>
          <w:rFonts w:ascii="Times New Roman" w:cs="Times New Roman" w:eastAsia="Times New Roman" w:hAnsi="Times New Roman"/>
          <w:sz w:val="24"/>
          <w:szCs w:val="24"/>
        </w:rPr>
        <w:t xml:space="preserve">Third, the FM_Direct pre-event stratum had a smaller sampling pool (n=51) due to the short data collection window prior to the index event, resulting in a higher within-stratum sampling fraction (33%) compared to other strata (&lt;2%). Pre-event FM_Direct estimates should be interpreted with this constraint in mind.</w:t>
      </w:r>
    </w:p>
    <w:p>
      <w:pPr>
        <w:spacing w:line="480" w:lineRule="auto" w:after="200"/>
        <w:ind/>
        <w:jc w:val="both"/>
      </w:pPr>
      <w:r>
        <w:rPr>
          <w:rFonts w:ascii="Times New Roman" w:cs="Times New Roman" w:eastAsia="Times New Roman" w:hAnsi="Times New Roman"/>
          <w:sz w:val="24"/>
          <w:szCs w:val="24"/>
        </w:rPr>
        <w:t xml:space="preserve">Fourth, the lead researcher (S.C.) is affiliated with the KDCA, the institution central to the structural critique developed in this Discussion. This structural conflict of interest is fully disclosed in the Ethics Statement. All analytical decisions were pre-registered in the project plan and subject to independent co-author review to mitigate potential bias.</w:t>
      </w:r>
    </w:p>
    <w:p>
      <w:pPr>
        <w:spacing w:before="280" w:after="160"/>
      </w:pPr>
      <w:r>
        <w:rPr>
          <w:rFonts w:ascii="Times New Roman" w:cs="Times New Roman" w:eastAsia="Times New Roman" w:hAnsi="Times New Roman"/>
          <w:b/>
          <w:bCs/>
          <w:sz w:val="26"/>
          <w:szCs w:val="26"/>
        </w:rPr>
        <w:t xml:space="preserve">4.7  Future Directions</w:t>
      </w:r>
    </w:p>
    <w:p>
      <w:pPr>
        <w:spacing w:line="480" w:lineRule="auto" w:after="200"/>
        <w:ind/>
        <w:jc w:val="both"/>
      </w:pPr>
      <w:r>
        <w:rPr>
          <w:rFonts w:ascii="Times New Roman" w:cs="Times New Roman" w:eastAsia="Times New Roman" w:hAnsi="Times New Roman"/>
          <w:sz w:val="24"/>
          <w:szCs w:val="24"/>
        </w:rPr>
        <w:t xml:space="preserve">The structural analysis presented in this study suggests several directions for future research. First, longitudinal tracking of the C1+C7 co-occurrence rate following structural reforms to KDCA's surveillance-compensation architecture — if such reforms are implemented — would provide a natural experiment for testing the institutional capture hypothesis. A significant reduction in C1+C7 co-occurrence following genuine structural separation would constitute strong evidence for the proposed mechanism.</w:t>
      </w:r>
    </w:p>
    <w:p>
      <w:pPr>
        <w:spacing w:line="480" w:lineRule="auto" w:after="200"/>
        <w:ind/>
        <w:jc w:val="both"/>
      </w:pPr>
      <w:r>
        <w:rPr>
          <w:rFonts w:ascii="Times New Roman" w:cs="Times New Roman" w:eastAsia="Times New Roman" w:hAnsi="Times New Roman"/>
          <w:sz w:val="24"/>
          <w:szCs w:val="24"/>
        </w:rPr>
        <w:t xml:space="preserve">Second, comparative studies across jurisdictions with varying degrees of surveillance–compensation separation would allow direct testing of the structural prediction. Japan presents a particularly relevant comparator: the 2013 HPV vaccine suspension, driven by a similar institutional dynamic of passive surveillance and politically mediated causality adjudication, produced sustained vaccine hesitancy patterns that have not been fully reversed despite subsequent WHO endorsement of HPV vaccine safety.</w:t>
      </w:r>
    </w:p>
    <w:p>
      <w:pPr>
        <w:spacing w:line="480" w:lineRule="auto" w:after="200"/>
        <w:ind/>
        <w:jc w:val="both"/>
      </w:pPr>
      <w:r>
        <w:rPr>
          <w:rFonts w:ascii="Times New Roman" w:hAnsi="Times New Roman"/>
          <w:sz w:val="24"/>
        </w:rPr>
        <w:t>Third, survey-based measurement of the four Korea-specific constructs proposed in Sections 4.4 and 4.5 — perceived procedural injustice in compensation, conviction of systemic failure, judicial reliance for safety authority, and locus of scientific authority — would allow direct testing of their relationships with 7C dimensions and their predictive validity for vaccination intentions. In particular, the locus of scientific authority item may serve as a sensitive moderator of the C1→C4 cascade: individuals who have transferred authority to the judiciary are predicted to show higher defensive C4 and C7 scores than those who retain some residual trust in the KDCA.</w:t>
      </w:r>
    </w:p>
    <w:p>
      <w:pPr>
        <w:spacing w:line="480" w:lineRule="auto" w:after="200"/>
        <w:ind/>
        <w:jc w:val="both"/>
      </w:pPr>
      <w:r>
        <w:rPr>
          <w:rFonts w:ascii="Times New Roman" w:hAnsi="Times New Roman"/>
          <w:sz w:val="24"/>
        </w:rPr>
        <w:t xml:space="preserve">Fourth, path analysis of the hypothesized inter-dimensional cascades would extend the present findings beyond distributional description. Three specific causal pathways warrant formal testing in future survey research. The first is the coerced compliance backlash pathway (C6→C1→C7): mandatory vaccination policies (C6) may have displaced genuine confidence (C1), creating latent resentment that converts to conspiratorial belief (C7) upon revelation of institutional safety failures. The second is the evidence vacuum calculation cascade (C1→C4): Confidence loss drives individuals toward intensive information-seeking (C4), but the absence of credible institutional data redirects this calculation toward judicial and community sources, producing defensive rather than exploratory C4. The third is the collective responsibility fragmentation pathway (C5→C4): when the collective sacrifice framing of mass vaccination (C5) is perceived as unreciprocated — because the state contests rather than acknowledges vaccine injuries — individuals shift from collective to individual defensive calculative modes (C4), prioritizing personal legal remedy over community benefit framing. Structural equation modeling or Bayesian network analysis of longitudinal panel data would be required to test these directional hypotheses, as the cross-sectional social media design of the present study cannot establish causal ordering among dimensions.</w:t>
      </w:r>
    </w:p>
    <w:p>
      <w:pPr>
        <w:spacing w:before="280" w:after="160"/>
      </w:pPr>
      <w:r>
        <w:rPr>
          <w:rFonts w:ascii="Times New Roman" w:cs="Times New Roman" w:eastAsia="Times New Roman" w:hAnsi="Times New Roman"/>
          <w:b/>
          <w:bCs/>
          <w:sz w:val="26"/>
          <w:szCs w:val="26"/>
        </w:rPr>
        <w:t xml:space="preserve">4.8  Conclusion</w:t>
      </w:r>
    </w:p>
    <w:p>
      <w:pPr>
        <w:spacing w:line="480" w:lineRule="auto" w:after="200"/>
        <w:ind/>
        <w:jc w:val="both"/>
      </w:pPr>
      <w:r>
        <w:rPr>
          <w:rFonts w:ascii="Times New Roman" w:cs="Times New Roman" w:eastAsia="Times New Roman" w:hAnsi="Times New Roman"/>
          <w:sz w:val="24"/>
          <w:szCs w:val="24"/>
        </w:rPr>
        <w:t xml:space="preserve">This study provides empirical evidence that the 2026 BAI audit disclosure produced a significant and group-specific shift in the architecture of vaccine hesitancy discourse on Korean social media, characterized by a substantial increase in C1+C7 co-occurrence in the FM_Direct discourse group. We interpret this pattern as reflecting not primarily individual psychological processes but a structural condition — institutional capture of the 7C communication channel — arising from the co-location of active surveillance and compensation functions within a single agency. Under this condition, official safety disclosures function as evidence-backed conspiracy catalysts rather than trust-restoring communications, and the judicial system substitutes for the scientific authority the surveillance infrastructure fails to produce.</w:t>
      </w:r>
    </w:p>
    <w:p>
      <w:pPr>
        <w:spacing w:line="480" w:lineRule="auto" w:after="200"/>
        <w:ind/>
        <w:jc w:val="both"/>
      </w:pPr>
      <w:r>
        <w:rPr>
          <w:rFonts w:ascii="Times New Roman" w:cs="Times New Roman" w:eastAsia="Times New Roman" w:hAnsi="Times New Roman"/>
          <w:sz w:val="24"/>
          <w:szCs w:val="24"/>
        </w:rPr>
        <w:t xml:space="preserve">The Korean case offers a critical lesson for global vaccine safety governance: the quantity of compensation cannot substitute for the quality of evidence generation. 대한민국 국민은 근거 생산 기관으로서의 질병관리청을 가져야 한다 — the Korean public deserves a disease control agency that functions as an evidence-generating institution. Until that structural condition is realized, the self-reinforcing distrust loop documented in this study will persist, independent of communication strategy, compensation generosity, or political will.</w:t>
      </w:r>
    </w:p>
    <w:p>
      <w:pPr>
        <w:spacing w:after="120"/>
      </w:pPr>
      <w:r>
        <w:t xml:space="preserve"/>
      </w:r>
    </w:p>
    <w:p>
      <w:pPr>
        <w:spacing w:after="80"/>
      </w:pPr>
      <w:r>
        <w:rPr>
          <w:rFonts w:ascii="Times New Roman" w:cs="Times New Roman" w:eastAsia="Times New Roman" w:hAnsi="Times New Roman"/>
          <w:color w:val="AAAAAA"/>
          <w:sz w:val="20"/>
          <w:szCs w:val="20"/>
        </w:rPr>
        <w:t xml:space="preserve">─────────────────────────────────────────────────────────────────</w:t>
      </w:r>
    </w:p>
    <w:p>
      <w:pPr>
        <w:spacing w:after="120"/>
      </w:pPr>
      <w:r>
        <w:rPr>
          <w:rFonts w:ascii="Times New Roman" w:cs="Times New Roman" w:eastAsia="Times New Roman" w:hAnsi="Times New Roman"/>
          <w:b/>
          <w:bCs/>
          <w:color w:val="595959"/>
          <w:sz w:val="20"/>
          <w:szCs w:val="20"/>
        </w:rPr>
        <w:t xml:space="preserve">Draft notes (to be removed before submission):</w:t>
      </w:r>
    </w:p>
    <w:p>
      <w:pPr>
        <w:spacing w:line="240" w:lineRule="auto"/>
        <w:ind w:left="720" w:right="720"/>
        <w:jc w:val="both"/>
      </w:pPr>
      <w:r>
        <w:rPr>
          <w:rFonts w:ascii="Times New Roman" w:cs="Times New Roman" w:eastAsia="Times New Roman" w:hAnsi="Times New Roman"/>
          <w:color w:val="595959"/>
          <w:sz w:val="20"/>
          <w:szCs w:val="20"/>
        </w:rPr>
        <w:t xml:space="preserve">• Red placeholders [XX] = to be filled with Korean batch results (Week 8)</w:t>
      </w:r>
    </w:p>
    <w:p>
      <w:pPr>
        <w:spacing w:line="240" w:lineRule="auto"/>
        <w:ind w:left="720" w:right="720"/>
        <w:jc w:val="both"/>
      </w:pPr>
      <w:r>
        <w:rPr>
          <w:rFonts w:ascii="Times New Roman" w:cs="Times New Roman" w:eastAsia="Times New Roman" w:hAnsi="Times New Roman"/>
          <w:color w:val="595959"/>
          <w:sz w:val="20"/>
          <w:szCs w:val="20"/>
        </w:rPr>
        <w:t xml:space="preserve">• Section 4.1 quantitative claims depend on: naver_all_batch.jsonl + gold standard kappa</w:t>
      </w:r>
    </w:p>
    <w:p>
      <w:pPr>
        <w:spacing w:line="240" w:lineRule="auto"/>
        <w:ind w:left="720" w:right="720"/>
        <w:jc w:val="both"/>
      </w:pPr>
      <w:r>
        <w:rPr>
          <w:rFonts w:ascii="Times New Roman" w:cs="Times New Roman" w:eastAsia="Times New Roman" w:hAnsi="Times New Roman"/>
          <w:color w:val="595959"/>
          <w:sz w:val="20"/>
          <w:szCs w:val="20"/>
        </w:rPr>
        <w:t xml:space="preserve">• Section 4.2–4.3 are theory/interpretation — no additional data needed</w:t>
      </w:r>
    </w:p>
    <w:p>
      <w:pPr>
        <w:spacing w:line="240" w:lineRule="auto"/>
        <w:ind w:left="720" w:right="720"/>
        <w:jc w:val="both"/>
      </w:pPr>
      <w:r>
        <w:rPr>
          <w:rFonts w:ascii="Times New Roman" w:cs="Times New Roman" w:eastAsia="Times New Roman" w:hAnsi="Times New Roman"/>
          <w:color w:val="595959"/>
          <w:sz w:val="20"/>
          <w:szCs w:val="20"/>
        </w:rPr>
        <w:t xml:space="preserve">• Closing quote (대한민국 국민은 근거 생산 기관으로서의 질병관리청을 가져야 한다) — confirm with Suah whether to keep in final or move to Conclusion section separately</w:t>
      </w:r>
    </w:p>
    <w:p>
      <w:pPr>
        <w:spacing w:line="240" w:lineRule="auto"/>
        <w:ind w:left="720" w:right="720"/>
        <w:jc w:val="both"/>
      </w:pPr>
      <w:r>
        <w:rPr>
          <w:rFonts w:ascii="Times New Roman" w:cs="Times New Roman" w:eastAsia="Times New Roman" w:hAnsi="Times New Roman"/>
          <w:color w:val="595959"/>
          <w:sz w:val="20"/>
          <w:szCs w:val="20"/>
        </w:rPr>
        <w:t xml:space="preserve">• Japan HPV comparison (Section 4.7) — verify HPV researcher identity before submission (FACT-CHECK LIST)</w:t>
      </w:r>
    </w:p>
    <w:p>
      <w:pPr>
        <w:spacing w:line="240" w:lineRule="auto"/>
        <w:ind w:left="720" w:right="720"/>
        <w:jc w:val="both"/>
      </w:pPr>
      <w:r>
        <w:rPr>
          <w:rFonts w:ascii="Times New Roman" w:cs="Times New Roman" w:eastAsia="Times New Roman" w:hAnsi="Times New Roman"/>
          <w:color w:val="595959"/>
          <w:sz w:val="20"/>
          <w:szCs w:val="20"/>
        </w:rPr>
        <w:t xml:space="preserve">• Lewandowsky &amp; van der Linden (2021) inoculation reference — confirm citation details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80" w:after="160"/>
      <w:outlineLvl w:val="1"/>
    </w:pPr>
    <w:rPr>
      <w:rFonts w:ascii="Times New Roman" w:cs="Times New Roman" w:eastAsia="Times New Roman" w:hAnsi="Times New Roman"/>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2026-03-10T19:48:08.575Z</dcterms:created>
  <dcterms:modified xsi:type="dcterms:W3CDTF">2026-03-10T19:48:08.576Z</dcterms:modified>
</cp:coreProperties>
</file>

<file path=docProps/custom.xml><?xml version="1.0" encoding="utf-8"?>
<Properties xmlns="http://schemas.openxmlformats.org/officeDocument/2006/custom-properties" xmlns:vt="http://schemas.openxmlformats.org/officeDocument/2006/docPropsVTypes"/>
</file>