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36"/>
          <w:szCs w:val="36"/>
        </w:rPr>
        <w:t xml:space="preserve">They were the result, not the cause.</w:t>
      </w:r>
    </w:p>
    <w:p>
      <w:pPr>
        <w:spacing w:after="480"/>
        <w:jc w:val="center"/>
      </w:pPr>
      <w:r>
        <w:rPr>
          <w:rFonts w:ascii="Georgia" w:cs="Georgia" w:eastAsia="Georgia" w:hAnsi="Georgia"/>
          <w:i/>
          <w:iCs/>
          <w:sz w:val="22"/>
          <w:szCs w:val="22"/>
        </w:rPr>
        <w:t xml:space="preserve">What twelve weeks of building a vaccine hesitancy surveillance system taught me about trust, data, and institutional design</w:t>
      </w:r>
    </w:p>
    <w:p>
      <w:pPr>
        <w:pStyle w:val="Heading1"/>
      </w:pPr>
      <w:r>
        <w:rPr>
          <w:rFonts w:ascii="Georgia" w:cs="Georgia" w:eastAsia="Georgia" w:hAnsi="Georgia"/>
          <w:b/>
          <w:bCs/>
          <w:sz w:val="28"/>
          <w:szCs w:val="28"/>
        </w:rPr>
        <w:t xml:space="preserve">I. Hook</w:t>
      </w:r>
    </w:p>
    <w:p>
      <w:pPr>
        <w:spacing w:after="200"/>
      </w:pPr>
      <w:r>
        <w:rPr>
          <w:rFonts w:ascii="Georgia" w:cs="Georgia" w:eastAsia="Georgia" w:hAnsi="Georgia"/>
          <w:b/>
          <w:bCs/>
          <w:sz w:val="24"/>
          <w:szCs w:val="24"/>
        </w:rPr>
        <w:t xml:space="preserve">On the morning of February 23, 2026, I had just pressed submit.</w:t>
      </w:r>
    </w:p>
    <w:p>
      <w:pPr>
        <w:spacing w:after="200"/>
      </w:pPr>
      <w:r>
        <w:rPr>
          <w:rFonts w:ascii="Georgia" w:cs="Georgia" w:eastAsia="Georgia" w:hAnsi="Georgia"/>
          <w:sz w:val="24"/>
          <w:szCs w:val="24"/>
        </w:rPr>
        <w:t xml:space="preserve">Not on a paper. On a Kaggle challenge — the medGemma Impact Challenge — where I’d spent weeks designing a system architecture for pharmacovigilance. The premise of the design was simple: Korea’s active vaccine safety surveillance had a structural gap, and someone needed to think about what filling it might look like. I was building for the future. The submission was in. I opened LinkedIn.</w:t>
      </w:r>
    </w:p>
    <w:p>
      <w:pPr>
        <w:spacing w:after="200"/>
      </w:pPr>
      <w:r>
        <w:rPr>
          <w:rFonts w:ascii="Georgia" w:cs="Georgia" w:eastAsia="Georgia" w:hAnsi="Georgia"/>
          <w:sz w:val="24"/>
          <w:szCs w:val="24"/>
        </w:rPr>
        <w:t xml:space="preserve">The news was already there. South Korea’s Board of Audit and Inspection had just released findings that government officials had procured COVID-19 vaccines without adequate safety review protocols. Within hours, comment sections on Naver — Korea’s dominant social media platform — were flooding with posts about foreign contaminants, institutional cover-ups, and betrayed trust.</w:t>
      </w:r>
    </w:p>
    <w:p>
      <w:pPr>
        <w:spacing w:after="200"/>
      </w:pPr>
      <w:r>
        <w:rPr>
          <w:rFonts w:ascii="Georgia" w:cs="Georgia" w:eastAsia="Georgia" w:hAnsi="Georgia"/>
          <w:sz w:val="24"/>
          <w:szCs w:val="24"/>
        </w:rPr>
        <w:t xml:space="preserve">I kept scrolling. A few posts down: a paper published that same day in npj Digital Medicine — local LLMs built for public health infoveillance, multilingual, fine-tuned for real-time monitoring. I read the abstract. The pieces were there. A system architect’s instinct is to ask: what could you build with this?</w:t>
      </w:r>
    </w:p>
    <w:p>
      <w:pPr>
        <w:spacing w:after="200"/>
      </w:pPr>
      <w:r>
        <w:rPr>
          <w:rFonts w:ascii="Georgia" w:cs="Georgia" w:eastAsia="Georgia" w:hAnsi="Georgia"/>
          <w:sz w:val="24"/>
          <w:szCs w:val="24"/>
        </w:rPr>
        <w:t xml:space="preserve">I closed the Kaggle tab. I opened a new Python file.</w:t>
      </w:r>
    </w:p>
    <w:p>
      <w:pPr>
        <w:spacing w:after="480"/>
        <w:jc w:val="center"/>
      </w:pPr>
      <w:r>
        <w:rPr>
          <w:rFonts w:ascii="Georgia" w:cs="Georgia" w:eastAsia="Georgia" w:hAnsi="Georgia"/>
          <w:i/>
          <w:iCs/>
          <w:sz w:val="24"/>
          <w:szCs w:val="24"/>
        </w:rPr>
        <w:t xml:space="preserve">What if I tried to analyze the present?</w:t>
      </w:r>
    </w:p>
    <w:p>
      <w:pPr>
        <w:pStyle w:val="Heading1"/>
      </w:pPr>
      <w:r>
        <w:rPr>
          <w:rFonts w:ascii="Georgia" w:cs="Georgia" w:eastAsia="Georgia" w:hAnsi="Georgia"/>
          <w:b/>
          <w:bCs/>
          <w:sz w:val="28"/>
          <w:szCs w:val="28"/>
        </w:rPr>
        <w:t xml:space="preserve">II. The Paradox</w:t>
      </w:r>
    </w:p>
    <w:p>
      <w:pPr>
        <w:spacing w:after="200"/>
      </w:pPr>
      <w:r>
        <w:rPr>
          <w:rFonts w:ascii="Georgia" w:cs="Georgia" w:eastAsia="Georgia" w:hAnsi="Georgia"/>
          <w:sz w:val="24"/>
          <w:szCs w:val="24"/>
        </w:rPr>
        <w:t xml:space="preserve">Here is a fact about South Korea that tends to surprise people outside the field.</w:t>
      </w:r>
    </w:p>
    <w:p>
      <w:pPr>
        <w:spacing w:after="200"/>
      </w:pPr>
      <w:r>
        <w:rPr>
          <w:rFonts w:ascii="Georgia" w:cs="Georgia" w:eastAsia="Georgia" w:hAnsi="Georgia"/>
          <w:sz w:val="24"/>
          <w:szCs w:val="24"/>
        </w:rPr>
        <w:t xml:space="preserve">South Korea compensates vaccine-injured citizens at one of the highest rates in the world. And then, in October 2025, the government went further still — enacting a Special Act on COVID-19 Vaccine Injury Compensation, expanding eligibility beyond an already expansive system.</w:t>
      </w:r>
    </w:p>
    <w:p>
      <w:pPr>
        <w:spacing w:after="200"/>
      </w:pPr>
      <w:r>
        <w:rPr>
          <w:rFonts w:ascii="Georgia" w:cs="Georgia" w:eastAsia="Georgia" w:hAnsi="Georgia"/>
          <w:sz w:val="24"/>
          <w:szCs w:val="24"/>
        </w:rPr>
        <w:t xml:space="preserve">And yet, in the weeks following two discrete public events in early 2026, the country’s largest social media platform was flooded with conspiracy-coded language about government cover-ups, suppressed evidence, and institutional betrayal. The comments weren’t fringe. They were mainstream. They were angry.</w:t>
      </w:r>
    </w:p>
    <w:p>
      <w:pPr>
        <w:spacing w:after="200"/>
      </w:pPr>
      <w:r>
        <w:rPr>
          <w:rFonts w:ascii="Georgia" w:cs="Georgia" w:eastAsia="Georgia" w:hAnsi="Georgia"/>
          <w:sz w:val="24"/>
          <w:szCs w:val="24"/>
        </w:rPr>
        <w:t xml:space="preserve">Which brought me back to a question I’d been circling for years. I work for KDCA. That sentence deserves its own line. It was the same question that had driven the pharmacovigilance design in the first place — and now demanded something more immediate: not a system for the future, but an attempt to understand what was already happening, in real time, on the platform where the public was doing its own analysis without institutional guidance.</w:t>
      </w:r>
    </w:p>
    <w:p>
      <w:pPr>
        <w:spacing w:after="200"/>
        <w:jc w:val="center"/>
      </w:pPr>
      <w:r>
        <w:rPr>
          <w:rFonts w:ascii="Georgia" w:cs="Georgia" w:eastAsia="Georgia" w:hAnsi="Georgia"/>
          <w:i/>
          <w:iCs/>
          <w:sz w:val="24"/>
          <w:szCs w:val="24"/>
        </w:rPr>
        <w:t xml:space="preserve">How far is South Korea from where it thinks it is on vaccine safety?</w:t>
      </w:r>
    </w:p>
    <w:p>
      <w:pPr>
        <w:spacing w:after="200"/>
      </w:pPr>
      <w:r>
        <w:rPr>
          <w:rFonts w:ascii="Georgia" w:cs="Georgia" w:eastAsia="Georgia" w:hAnsi="Georgia"/>
          <w:sz w:val="24"/>
          <w:szCs w:val="24"/>
        </w:rPr>
        <w:t xml:space="preserve">Not geographically. Not even policy-wise. But epistemically — in the gap between what the system produces and what the public believes about what the system produces. The compensation infrastructure had been built. The numbers were there. But somewhere between the policy and the public, something had broken.</w:t>
      </w:r>
    </w:p>
    <w:p>
      <w:pPr>
        <w:spacing w:after="480"/>
      </w:pPr>
      <w:r>
        <w:rPr>
          <w:rFonts w:ascii="Georgia" w:cs="Georgia" w:eastAsia="Georgia" w:hAnsi="Georgia"/>
          <w:sz w:val="24"/>
          <w:szCs w:val="24"/>
        </w:rPr>
        <w:t xml:space="preserve">The paradox isn’t a contradiction to be resolved. It is a symptom — of a system that had been generating both the compensation numbers and the distrust through the same structural logic. That architecture is what I set out to examine. Not with a large institutional team and NIH funding. With Python, a SQLite database, and the conviction that understanding the problem mattered more than solving it quickly.</w:t>
      </w:r>
    </w:p>
    <w:p>
      <w:pPr>
        <w:pStyle w:val="Heading1"/>
      </w:pPr>
      <w:r>
        <w:rPr>
          <w:rFonts w:ascii="Georgia" w:cs="Georgia" w:eastAsia="Georgia" w:hAnsi="Georgia"/>
          <w:b/>
          <w:bCs/>
          <w:sz w:val="28"/>
          <w:szCs w:val="28"/>
        </w:rPr>
        <w:t xml:space="preserve">III. The Build</w:t>
      </w:r>
    </w:p>
    <w:p>
      <w:pPr>
        <w:spacing w:after="200"/>
      </w:pPr>
      <w:r>
        <w:rPr>
          <w:rFonts w:ascii="Georgia" w:cs="Georgia" w:eastAsia="Georgia" w:hAnsi="Georgia"/>
          <w:sz w:val="24"/>
          <w:szCs w:val="24"/>
        </w:rPr>
        <w:t xml:space="preserve">The first decision wasn’t technical. It was conceptual.</w:t>
      </w:r>
    </w:p>
    <w:p>
      <w:pPr>
        <w:spacing w:after="200"/>
      </w:pPr>
      <w:r>
        <w:rPr>
          <w:rFonts w:ascii="Georgia" w:cs="Georgia" w:eastAsia="Georgia" w:hAnsi="Georgia"/>
          <w:sz w:val="24"/>
          <w:szCs w:val="24"/>
        </w:rPr>
        <w:t xml:space="preserve">I kept coming back to the 7C model. Geiger and colleagues had extended Betsch’s original 5C framework into something that accommodated a wider range of hesitancy types, including Conspiracy and Compliance — two dimensions I suspected would be central to the Korean discourse I was seeing. Conspiracy, because the audit news had immediately activated a pre-existing narrative about institutional cover-up. Compliance, because a significant segment of Korean vaccine discourse didn’t fit the Western template of hesitancy — it was people who had complied under social and institutional pressure, experienced adverse events they believed were caused by the vaccine, and felt abandoned by the very system that had asked for their compliance.</w:t>
      </w:r>
    </w:p>
    <w:p>
      <w:pPr>
        <w:spacing w:after="200"/>
      </w:pPr>
      <w:r>
        <w:rPr>
          <w:rFonts w:ascii="Georgia" w:cs="Georgia" w:eastAsia="Georgia" w:hAnsi="Georgia"/>
          <w:sz w:val="24"/>
          <w:szCs w:val="24"/>
        </w:rPr>
        <w:t xml:space="preserve">I needed a labeled dataset to benchmark the system. CAVES — COVID vaccine concern tweets annotated by Poddar and colleagues for SIGIR 2022 — was the closest available resource. Its taxonomy didn’t map directly to 7C; I had to hand-map each category. That process, like most of the work, was less about code than about concept. The Naver API collected data once a week. Claude Code handled the pipeline. What took time — what always takes time in any system that has to mean something — was understanding the domain well enough to know what the data was actually saying.</w:t>
      </w:r>
    </w:p>
    <w:p>
      <w:pPr>
        <w:spacing w:after="200"/>
      </w:pPr>
      <w:r>
        <w:rPr>
          <w:rFonts w:ascii="Georgia" w:cs="Georgia" w:eastAsia="Georgia" w:hAnsi="Georgia"/>
          <w:sz w:val="24"/>
          <w:szCs w:val="24"/>
        </w:rPr>
        <w:t xml:space="preserve">The question was a public health question. That it happened to implicate the institution I work for was not the reason to ask it — it was the reason to be careful about how. The analysis relied entirely on publicly available data: Naver posts collected through the public API, classified against an open benchmark dataset. Every analytical decision was pre-registered before the data spoke. That is what public health surveillance requires.</w:t>
      </w:r>
    </w:p>
    <w:p>
      <w:pPr>
        <w:spacing w:after="200"/>
      </w:pPr>
      <w:r>
        <w:rPr>
          <w:rFonts w:ascii="Georgia" w:cs="Georgia" w:eastAsia="Georgia" w:hAnsi="Georgia"/>
          <w:sz w:val="24"/>
          <w:szCs w:val="24"/>
        </w:rPr>
        <w:t xml:space="preserve">Six weeks of data. Two before the event, to establish a baseline. Four after, to watch what changed. A SQLite database that grew from zero to 5,973 posts, collected while I slept. A classification pipeline built with Claude Code, checked weekly — guided, not ground out. The machine ran. I studied CAVES the way an epidemiologist studies VAERS: not as a dataset, but as a lens. Learning what questions it could and couldn’t answer. Learning where the signal ends and the noise begins.</w:t>
      </w:r>
    </w:p>
    <w:p>
      <w:pPr>
        <w:spacing w:after="480"/>
      </w:pPr>
      <w:r>
        <w:rPr>
          <w:rFonts w:ascii="Georgia" w:cs="Georgia" w:eastAsia="Georgia" w:hAnsi="Georgia"/>
          <w:sz w:val="24"/>
          <w:szCs w:val="24"/>
        </w:rPr>
        <w:t xml:space="preserve">The point was never the pipeline. It was what the data could be made to reveal.</w:t>
      </w:r>
    </w:p>
    <w:p>
      <w:pPr>
        <w:pStyle w:val="Heading1"/>
      </w:pPr>
      <w:r>
        <w:rPr>
          <w:rFonts w:ascii="Georgia" w:cs="Georgia" w:eastAsia="Georgia" w:hAnsi="Georgia"/>
          <w:b/>
          <w:bCs/>
          <w:sz w:val="28"/>
          <w:szCs w:val="28"/>
        </w:rPr>
        <w:t xml:space="preserve">IV. What the Data Said</w:t>
      </w:r>
    </w:p>
    <w:p>
      <w:pPr>
        <w:spacing w:after="200"/>
      </w:pPr>
      <w:r>
        <w:rPr>
          <w:rFonts w:ascii="Georgia" w:cs="Georgia" w:eastAsia="Georgia" w:hAnsi="Georgia"/>
          <w:sz w:val="24"/>
          <w:szCs w:val="24"/>
        </w:rPr>
        <w:t xml:space="preserve">I had three hypotheses going in.</w:t>
      </w:r>
    </w:p>
    <w:p>
      <w:pPr>
        <w:spacing w:after="200"/>
      </w:pPr>
      <w:r>
        <w:rPr>
          <w:rFonts w:ascii="Georgia" w:cs="Georgia" w:eastAsia="Georgia" w:hAnsi="Georgia"/>
          <w:sz w:val="24"/>
          <w:szCs w:val="24"/>
        </w:rPr>
        <w:t xml:space="preserve">The audit disclosure would activate Confidence and Conspiracy discourse. The court ruling coverage would add Compliance — the voice of people who had followed the rules, experienced what they believed were vaccine injuries, and were now watching the legal system weigh their claims against state interest — and felt that the outcome was predetermined. And underneath both events, the Chronic group — posts about vaccine injury compensation, side effects, victim communities — would amplify whatever the trigger events produced, functioning as a kind of pre-charged background current.</w:t>
      </w:r>
    </w:p>
    <w:p>
      <w:pPr>
        <w:spacing w:after="200"/>
      </w:pPr>
      <w:r>
        <w:rPr>
          <w:rFonts w:ascii="Georgia" w:cs="Georgia" w:eastAsia="Georgia" w:hAnsi="Georgia"/>
          <w:sz w:val="24"/>
          <w:szCs w:val="24"/>
        </w:rPr>
        <w:t xml:space="preserve">The condition at the center of that ruling — myocardial infarction — had not been recognized as a risk of COVID-19 vaccination by any major regulatory or public health authority, a conclusion stable in the scientific literature for years by the time the court ruled. The ruling did not assert causation. It asserted only that causation could not be excluded — without the scientific basis to make even that claim. KDCA appealed. The broadcaster reported the appeal as confirmation that something was being suppressed. By the time the story reached Naver, the distinction between “cannot be excluded” and “likely caused” had been lost entirely.</w:t>
      </w:r>
    </w:p>
    <w:p>
      <w:pPr>
        <w:spacing w:after="200"/>
      </w:pPr>
      <w:r>
        <w:rPr>
          <w:rFonts w:ascii="Georgia" w:cs="Georgia" w:eastAsia="Georgia" w:hAnsi="Georgia"/>
          <w:sz w:val="24"/>
          <w:szCs w:val="24"/>
        </w:rPr>
        <w:t xml:space="preserve">The data confirmed the first two hypotheses. The Chronic group behaved as expected — a pre-charged background current, amplifying whatever the trigger events produced. And then, in the Court group, it showed me something I hadn’t expected.</w:t>
      </w:r>
    </w:p>
    <w:p>
      <w:pPr>
        <w:spacing w:after="200"/>
      </w:pPr>
      <w:r>
        <w:rPr>
          <w:rFonts w:ascii="Georgia" w:cs="Georgia" w:eastAsia="Georgia" w:hAnsi="Georgia"/>
          <w:sz w:val="24"/>
          <w:szCs w:val="24"/>
        </w:rPr>
        <w:t xml:space="preserve">Conspiracy coding decreased after the trigger event. Not dramatically, but measurably. I spent two days checking. Nothing was wrong. The pattern was real. When the SBS broadcast gave people a concrete, named, legally-adjudicated event to respond to, the discourse specificized. The conspiracy signal didn’t disappear — it diluted, surrounded by a much larger volume of specific, event-reactive content. I called it discourse specificization.</w:t>
      </w:r>
    </w:p>
    <w:p>
      <w:pPr>
        <w:spacing w:after="200"/>
      </w:pPr>
      <w:r>
        <w:rPr>
          <w:rFonts w:ascii="Georgia" w:cs="Georgia" w:eastAsia="Georgia" w:hAnsi="Georgia"/>
          <w:sz w:val="24"/>
          <w:szCs w:val="24"/>
        </w:rPr>
        <w:t xml:space="preserve">A reminder that surveillance systems that only look forward will systematically misread what they find downstream.</w:t>
      </w:r>
    </w:p>
    <w:p>
      <w:pPr>
        <w:spacing w:after="200"/>
        <w:jc w:val="center"/>
      </w:pPr>
      <w:r>
        <w:rPr>
          <w:rFonts w:ascii="Georgia" w:cs="Georgia" w:eastAsia="Georgia" w:hAnsi="Georgia"/>
          <w:i/>
          <w:iCs/>
          <w:sz w:val="24"/>
          <w:szCs w:val="24"/>
        </w:rPr>
        <w:t xml:space="preserve">Before asking what should be done, a surveillance system has to answer a prior set of questions: What is this system actually measuring? What is it structurally blind to? And how long has the signal been there before anyone thought to look?</w:t>
      </w:r>
    </w:p>
    <w:p>
      <w:pPr>
        <w:spacing w:after="200"/>
      </w:pPr>
      <w:r>
        <w:rPr>
          <w:rFonts w:ascii="Georgia" w:cs="Georgia" w:eastAsia="Georgia" w:hAnsi="Georgia"/>
          <w:sz w:val="24"/>
          <w:szCs w:val="24"/>
        </w:rPr>
        <w:t xml:space="preserve">And yet, underneath everything, something remained constant. The C1 signal — Confidence, or more precisely, the absence of it — never moved. It was there before the audit. It was there after the court ruling. It sat at the same elevated baseline throughout, like a vital sign that had been abnormal for so long it no longer registered as a finding. In statistical terms, a floor effect. In practical terms, the signal had been gone before the study began.</w:t>
      </w:r>
    </w:p>
    <w:p>
      <w:pPr>
        <w:spacing w:after="200"/>
      </w:pPr>
      <w:r>
        <w:rPr>
          <w:rFonts w:ascii="Georgia" w:cs="Georgia" w:eastAsia="Georgia" w:hAnsi="Georgia"/>
          <w:sz w:val="24"/>
          <w:szCs w:val="24"/>
        </w:rPr>
        <w:t xml:space="preserve">I had been asking: what do these events do to public trust? But the data was answering a different question:</w:t>
      </w:r>
    </w:p>
    <w:p>
      <w:pPr>
        <w:spacing w:after="480"/>
        <w:jc w:val="center"/>
      </w:pPr>
      <w:r>
        <w:rPr>
          <w:rFonts w:ascii="Georgia" w:cs="Georgia" w:eastAsia="Georgia" w:hAnsi="Georgia"/>
          <w:i/>
          <w:iCs/>
          <w:sz w:val="24"/>
          <w:szCs w:val="24"/>
        </w:rPr>
        <w:t xml:space="preserve">What does it look like when trust has already been gone for a long time, and no single event is capable of restoring it?</w:t>
      </w:r>
    </w:p>
    <w:p>
      <w:pPr>
        <w:pStyle w:val="Heading1"/>
      </w:pPr>
      <w:r>
        <w:rPr>
          <w:rFonts w:ascii="Georgia" w:cs="Georgia" w:eastAsia="Georgia" w:hAnsi="Georgia"/>
          <w:b/>
          <w:bCs/>
          <w:sz w:val="28"/>
          <w:szCs w:val="28"/>
        </w:rPr>
        <w:t xml:space="preserve">V. Why It Matters Beyond Korea</w:t>
      </w:r>
    </w:p>
    <w:p>
      <w:pPr>
        <w:spacing w:after="200"/>
      </w:pPr>
      <w:r>
        <w:rPr>
          <w:rFonts w:ascii="Georgia" w:cs="Georgia" w:eastAsia="Georgia" w:hAnsi="Georgia"/>
          <w:sz w:val="24"/>
          <w:szCs w:val="24"/>
        </w:rPr>
        <w:t xml:space="preserve">Before asking what Korea should do differently, the data demanded something harder: a structural account of what the system had already been doing — and why doing it correctly had not been enough.</w:t>
      </w:r>
    </w:p>
    <w:p>
      <w:pPr>
        <w:spacing w:after="200"/>
      </w:pPr>
      <w:r>
        <w:rPr>
          <w:rFonts w:ascii="Georgia" w:cs="Georgia" w:eastAsia="Georgia" w:hAnsi="Georgia"/>
          <w:sz w:val="24"/>
          <w:szCs w:val="24"/>
        </w:rPr>
        <w:t xml:space="preserve">Korea is not a cautionary tale. I want to be careful about that framing. It would be easy — and wrong — to read this project as an indictment of a system that failed. The compensation infrastructure is real. The claims processing works. If you were designing a vaccine injury response system from scratch, you would look at what Korea built and take notes.</w:t>
      </w:r>
    </w:p>
    <w:p>
      <w:pPr>
        <w:spacing w:after="200"/>
      </w:pPr>
      <w:r>
        <w:rPr>
          <w:rFonts w:ascii="Georgia" w:cs="Georgia" w:eastAsia="Georgia" w:hAnsi="Georgia"/>
          <w:sz w:val="24"/>
          <w:szCs w:val="24"/>
        </w:rPr>
        <w:t xml:space="preserve">The problem runs deeper than policy gaps. KDCA was simultaneously running the vaccination program, adjudicating injury compensation, and receiving passive adverse event reports — while outsourcing active pharmacovigilance to an external institution. In most countries, compensation is handled by health ministries or independent bodies, precisely to avoid this conflict. An agency that administers the program and decides whether injuries count is not structurally positioned to generate evidence the public will trust. The Board of Audit and Inspection said as much on February 23, 2026. And a court, working without adequate safety science to reference, filled the vacuum the way vacuums get filled — with what was available.</w:t>
      </w:r>
    </w:p>
    <w:p>
      <w:pPr>
        <w:spacing w:after="200"/>
      </w:pPr>
      <w:r>
        <w:rPr>
          <w:rFonts w:ascii="Georgia" w:cs="Georgia" w:eastAsia="Georgia" w:hAnsi="Georgia"/>
          <w:sz w:val="24"/>
          <w:szCs w:val="24"/>
        </w:rPr>
        <w:t xml:space="preserve">The structural pattern is not unique to Korea. Japan suspended its national HPV vaccination recommendation in 2013 — not because the evidence changed, but because organized distrust overwhelmed the institutional infrastructure for communicating safety. The recommendation stayed suspended for nearly a decade. This is what the gap costs, measured in bodies.</w:t>
      </w:r>
    </w:p>
    <w:p>
      <w:pPr>
        <w:spacing w:after="200"/>
      </w:pPr>
      <w:r>
        <w:rPr>
          <w:rFonts w:ascii="Georgia" w:cs="Georgia" w:eastAsia="Georgia" w:hAnsi="Georgia"/>
          <w:sz w:val="24"/>
          <w:szCs w:val="24"/>
        </w:rPr>
        <w:t xml:space="preserve">The scale of Korea’s situation is not subtle. As of early 2026, the United States had found 87 COVID-19 vaccine injury claims eligible for compensation out of more than 14,000 filed. Korea, counting both approved compensation and support payments for cases with suspected association, had by 2024 processed more than 25,000. The numbers tell you something real. So does the distrust. Both are products of the same structural logic.</w:t>
      </w:r>
    </w:p>
    <w:p>
      <w:pPr>
        <w:spacing w:after="200"/>
      </w:pPr>
      <w:r>
        <w:rPr>
          <w:rFonts w:ascii="Georgia" w:cs="Georgia" w:eastAsia="Georgia" w:hAnsi="Georgia"/>
          <w:sz w:val="24"/>
          <w:szCs w:val="24"/>
        </w:rPr>
        <w:t xml:space="preserve">This is what the C1 flatline was telling me. Structural distrust had been the baseline condition all along — the events of February and March 2026 were revelations, not ruptures. The politicians and the headlines did not create the distrust — they found it waiting, structurally produced by a system asking people to trust it while simultaneously holding the power to deny their claims.</w:t>
      </w:r>
    </w:p>
    <w:p>
      <w:pPr>
        <w:spacing w:after="200"/>
      </w:pPr>
      <w:r>
        <w:rPr>
          <w:rFonts w:ascii="Georgia" w:cs="Georgia" w:eastAsia="Georgia" w:hAnsi="Georgia"/>
          <w:b/>
          <w:bCs/>
          <w:sz w:val="24"/>
          <w:szCs w:val="24"/>
        </w:rPr>
        <w:t xml:space="preserve">They were the result, not the cause.</w:t>
      </w:r>
    </w:p>
    <w:p>
      <w:pPr>
        <w:spacing w:after="480"/>
      </w:pPr>
      <w:r>
        <w:rPr>
          <w:rFonts w:ascii="Georgia" w:cs="Georgia" w:eastAsia="Georgia" w:hAnsi="Georgia"/>
          <w:sz w:val="24"/>
          <w:szCs w:val="24"/>
        </w:rPr>
        <w:t xml:space="preserve">If distrust is structurally generated, the solution is institutional redesign: separating the surveillance function from the compensation adjudication function, creating independent review pathways, building procedural transparency that doesn’t require people to simply believe the agency that stands to benefit from their belief. The data cannot tell us how to redesign the system. But it can tell us which diagnosis is correct. And in this case, the diagnosis is structural: distrust is not a communication failure waiting for a better message. It is a system design failure waiting for a different architecture.</w:t>
      </w:r>
    </w:p>
    <w:p>
      <w:pPr>
        <w:pStyle w:val="Heading1"/>
      </w:pPr>
      <w:r>
        <w:rPr>
          <w:rFonts w:ascii="Georgia" w:cs="Georgia" w:eastAsia="Georgia" w:hAnsi="Georgia"/>
          <w:b/>
          <w:bCs/>
          <w:sz w:val="28"/>
          <w:szCs w:val="28"/>
        </w:rPr>
        <w:t xml:space="preserve">VI. Close</w:t>
      </w:r>
    </w:p>
    <w:p>
      <w:pPr>
        <w:spacing w:after="200"/>
      </w:pPr>
      <w:r>
        <w:rPr>
          <w:rFonts w:ascii="Georgia" w:cs="Georgia" w:eastAsia="Georgia" w:hAnsi="Georgia"/>
          <w:sz w:val="24"/>
          <w:szCs w:val="24"/>
        </w:rPr>
        <w:t xml:space="preserve">Korea in early 2026 was, in some ways, an ideal natural experiment. A high-compensation system, a well-documented institutional failure, two discrete trigger events, and a platform where millions of people processed it all in public, in real time. I didn’t design the experiment. I just built a system to listen to it.</w:t>
      </w:r>
    </w:p>
    <w:p>
      <w:pPr>
        <w:spacing w:after="200"/>
      </w:pPr>
      <w:r>
        <w:rPr>
          <w:rFonts w:ascii="Georgia" w:cs="Georgia" w:eastAsia="Georgia" w:hAnsi="Georgia"/>
          <w:sz w:val="24"/>
          <w:szCs w:val="24"/>
        </w:rPr>
        <w:t xml:space="preserve">What the system heard was this: the events mattered less than the baseline. The trigger events didn’t create the distrust — they revealed it. The classification framework didn’t judge the discourse — it mapped it. And the map, it turned out, had more to say about institutional architecture than about public irrationality.</w:t>
      </w:r>
    </w:p>
    <w:p>
      <w:pPr>
        <w:spacing w:after="200"/>
        <w:jc w:val="center"/>
      </w:pPr>
      <w:r>
        <w:rPr>
          <w:rFonts w:ascii="Georgia" w:cs="Georgia" w:eastAsia="Georgia" w:hAnsi="Georgia"/>
          <w:i/>
          <w:iCs/>
          <w:sz w:val="24"/>
          <w:szCs w:val="24"/>
        </w:rPr>
        <w:t xml:space="preserve">The analysis presented here did not generate new recommendations. It generated something prior to recommendation: a structural diagnosis, rendered in the present tense, of a system that had been producing distrust long before anyone thought to measure it.</w:t>
      </w:r>
    </w:p>
    <w:p>
      <w:pPr>
        <w:spacing w:after="200"/>
      </w:pPr>
      <w:r>
        <w:rPr>
          <w:rFonts w:ascii="Georgia" w:cs="Georgia" w:eastAsia="Georgia" w:hAnsi="Georgia"/>
          <w:sz w:val="24"/>
          <w:szCs w:val="24"/>
        </w:rPr>
        <w:t xml:space="preserve">Sentiment analysis can tell you that people are angry. Infoveillance asks why — which dimension of hesitancy is activated, by which event, through which channel. That classification is what enables root cause analysis. And root cause analysis is what enables intervention that actually addresses the problem, rather than the symptom.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2026-03-14T07:28:42.930Z</dcterms:created>
  <dcterms:modified xsi:type="dcterms:W3CDTF">2026-03-14T07:28:42.931Z</dcterms:modified>
</cp:coreProperties>
</file>

<file path=docProps/custom.xml><?xml version="1.0" encoding="utf-8"?>
<Properties xmlns="http://schemas.openxmlformats.org/officeDocument/2006/custom-properties" xmlns:vt="http://schemas.openxmlformats.org/officeDocument/2006/docPropsVTypes"/>
</file>