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Vax-Beacon v4.3 — AEFI Causality Assessment Report</w:t>
      </w:r>
    </w:p>
    <w:p/>
    <w:p>
      <w:r>
        <w:rPr>
          <w:b/>
        </w:rPr>
        <w:t>VAERS ID: 1499676 | Generated: 2026-02-17 10:42 | Processing: 43.04s</w:t>
      </w:r>
    </w:p>
    <w:p/>
    <w:p/>
    <w:p/>
    <w:p>
      <w:pPr>
        <w:pStyle w:val="Heading2"/>
      </w:pPr>
      <w:r>
        <w:t>Patient Profile</w:t>
      </w:r>
    </w:p>
    <w:p/>
    <w:p>
      <w:pPr>
        <w:pStyle w:val="NoSpacing"/>
      </w:pPr>
      <w:r>
        <w:t>Field  |  Value</w:t>
      </w:r>
    </w:p>
    <w:p>
      <w:pPr>
        <w:pStyle w:val="NoSpacing"/>
      </w:pPr>
      <w:r>
        <w:t>Age / Sex  |  26.0 M</w:t>
      </w:r>
    </w:p>
    <w:p>
      <w:pPr>
        <w:pStyle w:val="NoSpacing"/>
      </w:pPr>
      <w:r>
        <w:t>State  |  WA</w:t>
      </w:r>
    </w:p>
    <w:p>
      <w:pPr>
        <w:pStyle w:val="NoSpacing"/>
      </w:pPr>
      <w:r>
        <w:t>Vaccine  |  COVID19 (MODERNA), Dose #2, 2021-04-24</w:t>
      </w:r>
    </w:p>
    <w:p>
      <w:pPr>
        <w:pStyle w:val="NoSpacing"/>
      </w:pPr>
      <w:r>
        <w:t>Onset  |  2021-05-27 (33.0 days post-vaccination)</w:t>
      </w:r>
    </w:p>
    <w:p>
      <w:pPr>
        <w:pStyle w:val="NoSpacing"/>
      </w:pPr>
      <w:r>
        <w:t>Symptoms  |  shortness of breath with exertion, tachycardia, elevated blood pressure, pericardial chest pain, decreased heart function</w:t>
      </w:r>
    </w:p>
    <w:p>
      <w:pPr>
        <w:pStyle w:val="NoSpacing"/>
      </w:pPr>
      <w:r>
        <w:t>Medical History  |  ankylosing spondylitis, GERD, anxiety with panic attacks, major depressive disorder, ADHD, tendinitis, PTSD</w:t>
      </w:r>
    </w:p>
    <w:p>
      <w:pPr>
        <w:pStyle w:val="NoSpacing"/>
      </w:pPr>
      <w:r>
        <w:t>Medications  |  fluoxetine, hydroxyzine, docusate sodium, methylphenidate, nabumetone, metamucil, cranberry concentrate, Humira, omeprazole, vitamin D</w:t>
      </w:r>
    </w:p>
    <w:p>
      <w:pPr>
        <w:pStyle w:val="NoSpacing"/>
      </w:pPr>
      <w:r>
        <w:t>Outcome  |  Not specified</w:t>
      </w:r>
    </w:p>
    <w:p>
      <w:pPr>
        <w:pStyle w:val="NoSpacing"/>
      </w:pPr>
      <w:r>
        <w:t>Data Quality  |  Richness 9/10</w:t>
      </w:r>
    </w:p>
    <w:p/>
    <w:p/>
    <w:p>
      <w:pPr>
        <w:pStyle w:val="Heading2"/>
      </w:pPr>
      <w:r>
        <w:t>Diagnostic Validation (Brighton)</w:t>
      </w:r>
    </w:p>
    <w:p/>
    <w:p>
      <w:r>
        <w:rPr>
          <w:b/>
        </w:rPr>
        <w:t>Brighton Level: 3 — positive MRI + compatible symptoms</w:t>
      </w:r>
    </w:p>
    <w:p/>
    <w:p>
      <w:pPr>
        <w:pStyle w:val="NoSpacing"/>
      </w:pPr>
      <w:r>
        <w:t>Criterion  |  Result</w:t>
      </w:r>
    </w:p>
    <w:p>
      <w:pPr>
        <w:pStyle w:val="NoSpacing"/>
      </w:pPr>
      <w:r>
        <w:t>Histopathology  |  ✗</w:t>
      </w:r>
    </w:p>
    <w:p>
      <w:pPr>
        <w:pStyle w:val="NoSpacing"/>
      </w:pPr>
      <w:r>
        <w:t>Cardiac MRI  |  ✓</w:t>
      </w:r>
    </w:p>
    <w:p>
      <w:pPr>
        <w:pStyle w:val="NoSpacing"/>
      </w:pPr>
      <w:r>
        <w:t>Troponin elevated  |  ✗</w:t>
      </w:r>
    </w:p>
    <w:p>
      <w:pPr>
        <w:pStyle w:val="NoSpacing"/>
      </w:pPr>
      <w:r>
        <w:t>ECG abnormal  |  ✗</w:t>
      </w:r>
    </w:p>
    <w:p>
      <w:pPr>
        <w:pStyle w:val="NoSpacing"/>
      </w:pPr>
      <w:r>
        <w:t>Echo abnormal  |  ✗</w:t>
      </w:r>
    </w:p>
    <w:p>
      <w:pPr>
        <w:pStyle w:val="NoSpacing"/>
      </w:pPr>
      <w:r>
        <w:t>Compatible symptoms  |  ✓</w:t>
      </w:r>
    </w:p>
    <w:p>
      <w:pPr>
        <w:pStyle w:val="NoSpacing"/>
      </w:pPr>
      <w:r>
        <w:t>Inflammatory markers  |  ✗</w:t>
      </w:r>
    </w:p>
    <w:p/>
    <w:p/>
    <w:p>
      <w:pPr>
        <w:pStyle w:val="Heading2"/>
      </w:pPr>
      <w:r>
        <w:t>Differential Diagnosis (WHO Step 1)</w:t>
      </w:r>
    </w:p>
    <w:p/>
    <w:p>
      <w:pPr>
        <w:pStyle w:val="Heading3"/>
      </w:pPr>
      <w:r>
        <w:t>Clinical Observations</w:t>
      </w:r>
    </w:p>
    <w:p/>
    <w:p>
      <w:r>
        <w:rPr>
          <w:b/>
        </w:rPr>
        <w:t>Cardiac Dysfunction:</w:t>
      </w:r>
    </w:p>
    <w:p>
      <w:r>
        <w:t>- Reduced left ventricular ejection fraction — *"low normal/borderline decreased heart function seen on echo (LVEF 50.7%)"* [high]</w:t>
      </w:r>
    </w:p>
    <w:p>
      <w:r>
        <w:t>- Reduced left ventricular ejection fraction on cardiac MRI — *"cardiac MRI performed 7/6 corroborated echo findings (LVEF 52%)"* [high]</w:t>
      </w:r>
    </w:p>
    <w:p>
      <w:r>
        <w:t>- Dyspnea on exertion — *"Began noticing SOB with mild exertion (walking &lt;100 yards)"* [high]</w:t>
      </w:r>
    </w:p>
    <w:p>
      <w:r>
        <w:t>- Persistent tachycardia despite medication — *"heartrate stayed above 100bpm despite medication"* [high]</w:t>
      </w:r>
    </w:p>
    <w:p/>
    <w:p>
      <w:r>
        <w:rPr>
          <w:b/>
        </w:rPr>
        <w:t>Drug Toxin Exposure:</w:t>
      </w:r>
    </w:p>
    <w:p>
      <w:r>
        <w:t>- Humira therapy — *"Humira"* [high]</w:t>
      </w:r>
    </w:p>
    <w:p/>
    <w:p>
      <w:r>
        <w:rPr>
          <w:b/>
        </w:rPr>
        <w:t>Autoimmune Findings:</w:t>
      </w:r>
    </w:p>
    <w:p>
      <w:r>
        <w:t>- Ankylosing spondylitis — *"Ankylosing spondylitis"* [high]</w:t>
      </w:r>
    </w:p>
    <w:p>
      <w:r>
        <w:t>- Patchy areas of subacute pericarditis and myocarditis inflammation — *"showed patchy areas of subacute pericarditis and myocarditis inflammation with changes to tissue noticed"* [high]</w:t>
      </w:r>
    </w:p>
    <w:p>
      <w:r>
        <w:t>- Pericardial chest pain — *"Visited urgent care with pericardial chest pain 7/21"* [high]</w:t>
      </w:r>
    </w:p>
    <w:p/>
    <w:p>
      <w:r>
        <w:rPr>
          <w:b/>
        </w:rPr>
        <w:t>Key Negatives: Troponin I &lt;0.02ng/mL; D-dimer, quant &lt;200ng/mL; no acute cardiopulmonary findings on chest X-ray</w:t>
      </w:r>
    </w:p>
    <w:p/>
    <w:p>
      <w:pPr>
        <w:pStyle w:val="Heading3"/>
      </w:pPr>
      <w:r>
        <w:t>DDx Candidates</w:t>
      </w:r>
    </w:p>
    <w:p/>
    <w:p>
      <w:pPr>
        <w:pStyle w:val="NoSpacing"/>
      </w:pPr>
      <w:r>
        <w:t>Etiology  |  NCI Score  |  Key Markers  |  Status</w:t>
      </w:r>
    </w:p>
    <w:p/>
    <w:p>
      <w:r>
        <w:rPr>
          <w:b/>
        </w:rPr>
        <w:t>Max NCI: 0.0</w:t>
      </w:r>
    </w:p>
    <w:p>
      <w:r>
        <w:rPr>
          <w:b/>
        </w:rPr>
        <w:t>WHO Step 1 Conclusion: NO_ALTERNATIVE</w:t>
      </w:r>
    </w:p>
    <w:p>
      <w:r>
        <w:rPr>
          <w:b/>
        </w:rPr>
        <w:t>Dominant Alternative: NONE</w:t>
      </w:r>
    </w:p>
    <w:p/>
    <w:p>
      <w:pPr>
        <w:pStyle w:val="Heading3"/>
      </w:pPr>
      <w:r>
        <w:t>Information Gaps</w:t>
      </w:r>
    </w:p>
    <w:p/>
    <w:p>
      <w:r>
        <w:t>- Viral testing status unknown — cannot exclude viral etiology</w:t>
      </w:r>
    </w:p>
    <w:p/>
    <w:p/>
    <w:p>
      <w:pPr>
        <w:pStyle w:val="Heading2"/>
      </w:pPr>
      <w:r>
        <w:t>Temporal Assessment (WHO Step 2)</w:t>
      </w:r>
    </w:p>
    <w:p/>
    <w:p>
      <w:pPr>
        <w:pStyle w:val="NoSpacing"/>
      </w:pPr>
      <w:r>
        <w:t>Parameter  |  Value</w:t>
      </w:r>
    </w:p>
    <w:p>
      <w:pPr>
        <w:pStyle w:val="NoSpacing"/>
      </w:pPr>
      <w:r>
        <w:t>Known AE  |  True (ESTABLISHED — NAM 2024 Evidence Review)</w:t>
      </w:r>
    </w:p>
    <w:p>
      <w:pPr>
        <w:pStyle w:val="NoSpacing"/>
      </w:pPr>
      <w:r>
        <w:t>Days to onset  |  33.0</w:t>
      </w:r>
    </w:p>
    <w:p>
      <w:pPr>
        <w:pStyle w:val="NoSpacing"/>
      </w:pPr>
      <w:r>
        <w:t>Temporal zone  |  BACKGROUND_RATE</w:t>
      </w:r>
    </w:p>
    <w:p>
      <w:pPr>
        <w:pStyle w:val="NoSpacing"/>
      </w:pPr>
      <w:r>
        <w:t>NAM 2024 alignment  |  OUTSIDE_WINDOW</w:t>
      </w:r>
    </w:p>
    <w:p>
      <w:pPr>
        <w:pStyle w:val="NoSpacing"/>
      </w:pPr>
      <w:r>
        <w:t>WHO Step 2 Met  |  False</w:t>
      </w:r>
    </w:p>
    <w:p>
      <w:pPr>
        <w:pStyle w:val="NoSpacing"/>
      </w:pPr>
      <w:r>
        <w:t>Flags  |  BACKGROUND_RATE_ZONE: 22-42d, mechanistic threshold exceeded, HIGH_RISK_GROUP: Male, age 26.0, dose 2</w:t>
      </w:r>
    </w:p>
    <w:p/>
    <w:p/>
    <w:p>
      <w:pPr>
        <w:pStyle w:val="Heading2"/>
      </w:pPr>
      <w:r>
        <w:t>WHO Causality Classification</w:t>
      </w:r>
    </w:p>
    <w:p/>
    <w:p>
      <w:pPr>
        <w:pStyle w:val="Heading3"/>
      </w:pPr>
      <w:r>
        <w:t>**C** — Inconsistent with causal association (Coincidental)</w:t>
      </w:r>
    </w:p>
    <w:p/>
    <w:p>
      <w:r>
        <w:rPr>
          <w:b/>
        </w:rPr>
        <w:t>Confidence: HIGH</w:t>
      </w:r>
    </w:p>
    <w:p>
      <w:r>
        <w:rPr>
          <w:b/>
        </w:rPr>
        <w:t>Classification Source: DETERMINISTIC (v4 decision tree)</w:t>
      </w:r>
    </w:p>
    <w:p/>
    <w:p>
      <w:r>
        <w:rPr>
          <w:b/>
        </w:rPr>
        <w:t>Decision Chain:</w:t>
      </w:r>
    </w:p>
    <w:p>
      <w:r>
        <w:t>- Q1 Valid diagnosis: True (Brighton L3)</w:t>
      </w:r>
    </w:p>
    <w:p>
      <w:r>
        <w:t>- Q2 Definite other cause: False (max_nci=0)</w:t>
      </w:r>
    </w:p>
    <w:p>
      <w:r>
        <w:t>- Q3 Known AE: True</w:t>
      </w:r>
    </w:p>
    <w:p>
      <w:r>
        <w:t>- Q4 Temporal met: False (zone=BACKGROUND_RATE)</w:t>
      </w:r>
    </w:p>
    <w:p>
      <w:r>
        <w:t>- Q5 Conflicting alternatives: False</w:t>
      </w:r>
    </w:p>
    <w:p/>
    <w:p>
      <w:r>
        <w:rPr>
          <w:b/>
        </w:rPr>
        <w:t>Key Factors:</w:t>
      </w:r>
    </w:p>
    <w:p>
      <w:r>
        <w:t>- Known AE with temporal inconsistency</w:t>
      </w:r>
    </w:p>
    <w:p>
      <w:r>
        <w:t>- 33-day onset in BACKGROUND_RATE zone</w:t>
      </w:r>
    </w:p>
    <w:p>
      <w:r>
        <w:t>- No alternative causes identified</w:t>
      </w:r>
    </w:p>
    <w:p/>
    <w:p>
      <w:r>
        <w:rPr>
          <w:b/>
        </w:rPr>
        <w:t>Reasoning:</w:t>
      </w:r>
    </w:p>
    <w:p>
      <w:r>
        <w:t>This case is classified as C (Coincidental) because while myocarditis is an established adverse event following mRNA COVID-19 vaccines (NAM 2024 Evidence Review), the temporal relationship is inconsistent with causation. The 33-day onset falls in the BACKGROUND_RATE zone, well beyond the expected 7-day window for vaccine-induced myocarditis. Despite comprehensive differential diagnosis assessment yielding no alternative causes (max NCI = 0.0), the temporal inconsistency with the known mechanistic window makes coincidental occurrence the most plausible explanation. The case requires comprehensive investigation given the extended timeline beyond the mechanistic threshold.</w:t>
      </w:r>
    </w:p>
    <w:p/>
    <w:p/>
    <w:p>
      <w:pPr>
        <w:pStyle w:val="Heading2"/>
      </w:pPr>
      <w:r>
        <w:t>Investigation Guidance</w:t>
      </w:r>
    </w:p>
    <w:p/>
    <w:p>
      <w:r>
        <w:rPr>
          <w:b/>
        </w:rPr>
        <w:t>Overall Risk Signal: MEDIUM</w:t>
      </w:r>
    </w:p>
    <w:p>
      <w:r>
        <w:rPr>
          <w:b/>
        </w:rPr>
        <w:t>Escalation Needed: Yes — CRITICAL bridging symptom query required - if cardiac symptoms began within 7 days post-vaccination, temporal classification would change from BACKGROUND_RATE to STRONG_CAUSAL, potentially reclassifying case from C to B1</w:t>
      </w:r>
    </w:p>
    <w:p/>
    <w:p>
      <w:pPr>
        <w:pStyle w:val="NoSpacing"/>
      </w:pPr>
      <w:r>
        <w:t>Priority  |  Gap  |  Action  |  Classification Impact</w:t>
      </w:r>
    </w:p>
    <w:p>
      <w:pPr>
        <w:pStyle w:val="NoSpacing"/>
      </w:pPr>
      <w:r>
        <w:t>CRITICAL  |  Bridging symptom verification - cardiac symptoms between vaccination and formal diagnosis  |  Query reporter: Were there ANY cardiac symptoms (chest pain, dyspnea, palpitations, exercise intolerance, unusual fatigue) between vaccination (4/24/21) and formal diagnosis (5/27/21)? If symptoms began within 0-7 days post-vaccination, actual onset may fall within STRONG_CAUSAL window, warranting temporal reclassification.  |  Could reclassify from C (Coincidental) to B1 (Consistent) if earlier symptom onset is confirmed within the 7-day mechanistic window</w:t>
      </w:r>
    </w:p>
    <w:p>
      <w:pPr>
        <w:pStyle w:val="NoSpacing"/>
      </w:pPr>
      <w:r>
        <w:t>HIGH  |  Viral testing status unknown  |  Obtain viral PCR/serology results (COVID-19, enterovirus, adenovirus, EBV, CMV) performed around symptom onset to exclude viral myocarditis  |  Positive viral testing could support alternative etiology and maintain C classification; negative testing would strengthen vaccine association if bridging symptoms are confirmed</w:t>
      </w:r>
    </w:p>
    <w:p>
      <w:pPr>
        <w:pStyle w:val="NoSpacing"/>
      </w:pPr>
      <w:r>
        <w:t>HIGH  |  Infection history documentation  |  Document any respiratory, gastrointestinal, or systemic infections in the 4-6 weeks preceding cardiac symptom onset  |  Recent infection could provide alternative explanation supporting C classification</w:t>
      </w:r>
    </w:p>
    <w:p>
      <w:pPr>
        <w:pStyle w:val="NoSpacing"/>
      </w:pPr>
      <w:r>
        <w:t>MEDIUM  |  Medication review for cardiotoxic agents  |  Review timing and dosing of Humira (adalimumab) and other medications for potential cardiac effects or recent changes  |  Medication-induced myocarditis could provide alternative explanation</w:t>
      </w:r>
    </w:p>
    <w:p>
      <w:pPr>
        <w:pStyle w:val="NoSpacing"/>
      </w:pPr>
      <w:r>
        <w:t>MEDIUM  |  Baseline cardiac function assessment  |  Determine if patient had prior cardiac evaluation or known baseline LV dysfunction related to ankylosing spondylitis  |  Pre-existing cardiac disease could explain current findings as disease progression rather than acute myocarditis</w:t>
      </w:r>
    </w:p>
    <w:p/>
    <w:p>
      <w:pPr>
        <w:pStyle w:val="Heading3"/>
      </w:pPr>
      <w:r>
        <w:t>Recommended Actions</w:t>
      </w:r>
    </w:p>
    <w:p/>
    <w:p>
      <w:r>
        <w:t>- Contact reporter immediately for bridging symptom verification</w:t>
      </w:r>
    </w:p>
    <w:p>
      <w:r>
        <w:t>- Request complete viral testing panel results</w:t>
      </w:r>
    </w:p>
    <w:p>
      <w:r>
        <w:t>- Obtain detailed infection history for 6 weeks pre-onset</w:t>
      </w:r>
    </w:p>
    <w:p>
      <w:r>
        <w:t>- Review medication timeline, especially Humira dosing</w:t>
      </w:r>
    </w:p>
    <w:p>
      <w:r>
        <w:t>- Assess for prior cardiac evaluations</w:t>
      </w:r>
    </w:p>
    <w:p/>
    <w:p>
      <w:pPr>
        <w:pStyle w:val="Heading3"/>
      </w:pPr>
      <w:r>
        <w:t>Quality Assessment</w:t>
      </w:r>
    </w:p>
    <w:p/>
    <w:p>
      <w:pPr>
        <w:pStyle w:val="NoSpacing"/>
      </w:pPr>
      <w:r>
        <w:t>Flag  |  Value</w:t>
      </w:r>
    </w:p>
    <w:p>
      <w:pPr>
        <w:pStyle w:val="NoSpacing"/>
      </w:pPr>
      <w:r>
        <w:t>Data Completeness  |  PARTIAL</w:t>
      </w:r>
    </w:p>
    <w:p>
      <w:pPr>
        <w:pStyle w:val="NoSpacing"/>
      </w:pPr>
      <w:r>
        <w:t>Diagnostic Certainty  |  HIGH</w:t>
      </w:r>
    </w:p>
    <w:p>
      <w:pPr>
        <w:pStyle w:val="NoSpacing"/>
      </w:pPr>
      <w:r>
        <w:t>Temporal Clarity  |  AMBIGUOUS</w:t>
      </w:r>
    </w:p>
    <w:p/>
    <w:p/>
    <w:p>
      <w:pPr>
        <w:pStyle w:val="Heading2"/>
      </w:pPr>
      <w:r>
        <w:t>Officer Summary</w:t>
      </w:r>
    </w:p>
    <w:p/>
    <w:p>
      <w:r>
        <w:rPr>
          <w:i/>
        </w:rPr>
        <w:t>This 26-year-old male developed myocarditis 33 days after his second Moderna vaccine, which falls outside the expected 7-day window for vaccine-induced myocarditis. However, the case requires urgent follow-up because if he actually experienced cardiac symptoms within the first week after vaccination, the temporal relationship would be consistent with vaccine causation and could change the classification from coincidental to vaccine-related. The MRI confirmed myocarditis but viral testing results are unknown, which is a critical gap for ruling out alternative causes.</w:t>
      </w:r>
    </w:p>
    <w:p/>
    <w:p/>
    <w:p>
      <w:r>
        <w:rPr>
          <w:i/>
          <w:sz w:val="18"/>
        </w:rPr>
        <w:t>Report generated by Vax-Beacon v4.3 | 2026-02-17 10:42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