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625E1D" w:rsidRPr="00625E1D" w:rsidTr="00EE5978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625E1D" w:rsidRPr="00625E1D" w:rsidTr="00EE5978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625E1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64B414F" wp14:editId="1015206F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EE5978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5E1D" w:rsidRPr="00625E1D" w:rsidRDefault="00625E1D" w:rsidP="00625E1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625E1D" w:rsidRPr="00625E1D" w:rsidTr="00EE5978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625E1D" w:rsidRPr="00625E1D" w:rsidTr="00EE5978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EE5978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EE5978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2B43AF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MERAWAT BUNGA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625E1D" w:rsidRPr="00625E1D" w:rsidTr="00EE5978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EE5978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625E1D" w:rsidRPr="00625E1D" w:rsidTr="00EE5978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EE5978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195414" w:rsidRDefault="00195414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95414" w:rsidRPr="00EE5978" w:rsidRDefault="002B43AF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  <w:r>
        <w:rPr>
          <w:rFonts w:ascii="Bookman Old Style" w:hAnsi="Bookman Old Style" w:cs="Bookman Old Style"/>
          <w:lang w:val="id-ID"/>
        </w:rPr>
        <w:t>Bunga</w:t>
      </w:r>
      <w:r w:rsidR="00EE5978">
        <w:rPr>
          <w:rFonts w:ascii="Bookman Old Style" w:hAnsi="Bookman Old Style" w:cs="Bookman Old Style"/>
          <w:lang w:val="id-ID"/>
        </w:rPr>
        <w:t xml:space="preserve"> tumbuh dengan sehat dan berbunga dengan indah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95414" w:rsidRPr="00EE5978" w:rsidRDefault="00EE597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20"/>
        <w:jc w:val="both"/>
        <w:rPr>
          <w:rFonts w:ascii="Bookman Old Style" w:hAnsi="Bookman Old Style" w:cs="Bookman Old Style"/>
          <w:b/>
          <w:bCs/>
          <w:lang w:val="id-ID"/>
        </w:rPr>
      </w:pPr>
      <w:r>
        <w:rPr>
          <w:rFonts w:ascii="Bookman Old Style" w:hAnsi="Bookman Old Style" w:cs="Bookman Old Style"/>
          <w:lang w:val="id-ID"/>
        </w:rPr>
        <w:t>Meliputi penyiraman bunga, penyiangan rumput liar, pemupukan, penggemburan tanah, penambahan tanah/kompos, pembasmian hama penyakit, memangkas dan perombakan/pembongkaran bunga dalam pot/tempat penanaman.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97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2B43AF" w:rsidRDefault="0011469E" w:rsidP="002B43A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Staf</w:t>
      </w:r>
      <w:proofErr w:type="spellEnd"/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memiliki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jadwal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rutin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EE5978">
        <w:rPr>
          <w:rFonts w:ascii="Bookman Old Style" w:hAnsi="Bookman Old Style" w:cs="Bookman Old Style"/>
          <w:lang w:val="id-ID"/>
        </w:rPr>
        <w:t xml:space="preserve">menyiram, menyiangi, memupuk, menggemburkan tanah, memangkas dan pembasmian </w:t>
      </w:r>
      <w:proofErr w:type="gramStart"/>
      <w:r w:rsidR="00EE5978">
        <w:rPr>
          <w:rFonts w:ascii="Bookman Old Style" w:hAnsi="Bookman Old Style" w:cs="Bookman Old Style"/>
          <w:lang w:val="id-ID"/>
        </w:rPr>
        <w:t>hama</w:t>
      </w:r>
      <w:proofErr w:type="gramEnd"/>
      <w:r w:rsidR="00EE5978">
        <w:rPr>
          <w:rFonts w:ascii="Bookman Old Style" w:hAnsi="Bookman Old Style" w:cs="Bookman Old Style"/>
          <w:lang w:val="id-ID"/>
        </w:rPr>
        <w:t xml:space="preserve"> dan penyakit tanaman. </w:t>
      </w:r>
      <w:r w:rsidR="002B43AF">
        <w:rPr>
          <w:rFonts w:ascii="Bookman Old Style" w:hAnsi="Bookman Old Style" w:cs="Bookman Old Style"/>
          <w:lang w:val="id-ID"/>
        </w:rPr>
        <w:t xml:space="preserve">Koordinator </w:t>
      </w:r>
      <w:r>
        <w:rPr>
          <w:rFonts w:ascii="Bookman Old Style" w:hAnsi="Bookman Old Style" w:cs="Bookman Old Style"/>
        </w:rPr>
        <w:t xml:space="preserve">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laporan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2B43AF">
        <w:rPr>
          <w:rFonts w:ascii="Bookman Old Style" w:hAnsi="Bookman Old Style" w:cs="Bookman Old Style"/>
          <w:lang w:val="id-ID"/>
        </w:rPr>
        <w:t>Direktur Keuangan dan Sumber Daya Manusia.</w:t>
      </w:r>
      <w:r w:rsidR="002B43AF">
        <w:rPr>
          <w:rFonts w:ascii="Bookman Old Style" w:hAnsi="Bookman Old Style" w:cs="Bookman Old Style"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495A12" w:rsidRPr="00495A12" w:rsidRDefault="002B43AF" w:rsidP="00495A12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 xml:space="preserve">Pekerjaan yang meliputi menyiram, menyaingi, memupuk, menggemburkan tanah, memangkas dan pemabsmian hama penyakit tanaman merupakan tanggungjawab setiap staff gardener di wilayah masing-masing. </w:t>
      </w:r>
      <w:r w:rsidR="00495A12">
        <w:rPr>
          <w:rFonts w:ascii="Bookman Old Style" w:hAnsi="Bookman Old Style" w:cs="Bookman Old Style"/>
          <w:lang w:val="id-ID"/>
        </w:rPr>
        <w:t xml:space="preserve">Jadi masing-masing staff merencanakan dan mengerjakan segala kegiatan yang akan dikerjakan untuk membuat bunga tetap terawat. </w:t>
      </w:r>
    </w:p>
    <w:p w:rsidR="00195414" w:rsidRPr="00495A12" w:rsidRDefault="00495A12" w:rsidP="00495A12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Khusus ketika proses pembabatan, maka kegiatan menyiram bunga dikerjakan oleh staff Gardener yang diarahkan.</w:t>
      </w:r>
    </w:p>
    <w:p w:rsidR="00EE5978" w:rsidRPr="00EE5978" w:rsidRDefault="00EE597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Pemupukan dilakukan sekali dalam se</w:t>
      </w:r>
      <w:r w:rsidR="00495A12">
        <w:rPr>
          <w:rFonts w:ascii="Bookman Old Style" w:hAnsi="Bookman Old Style" w:cs="Bookman Old Style"/>
          <w:lang w:val="id-ID"/>
        </w:rPr>
        <w:t>bulan</w:t>
      </w:r>
      <w:r>
        <w:rPr>
          <w:rFonts w:ascii="Bookman Old Style" w:hAnsi="Bookman Old Style" w:cs="Bookman Old Style"/>
          <w:lang w:val="id-ID"/>
        </w:rPr>
        <w:t>.</w:t>
      </w:r>
    </w:p>
    <w:p w:rsidR="00EE5978" w:rsidRPr="00EE5978" w:rsidRDefault="00EE597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Penyiangan dan penggemburan dilakukan sekali dalam sebulan.</w:t>
      </w:r>
    </w:p>
    <w:p w:rsidR="00EE5978" w:rsidRPr="00EE5978" w:rsidRDefault="00EE597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Pemangkasan, pembongkaran pot/tempat penanaman dan pembasmian hama penyakit bersifat kondusif.</w:t>
      </w:r>
    </w:p>
    <w:p w:rsidR="00EE5978" w:rsidRPr="00625E1D" w:rsidRDefault="00EE597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 xml:space="preserve">Wilayah pengerjaan meliputi </w:t>
      </w:r>
      <w:r w:rsidR="00495A12">
        <w:rPr>
          <w:rFonts w:ascii="Bookman Old Style" w:hAnsi="Bookman Old Style" w:cs="Bookman Old Style"/>
          <w:lang w:val="id-ID"/>
        </w:rPr>
        <w:t>wilayah kampus ITD, kontainer, Rusunawa I</w:t>
      </w:r>
      <w:r w:rsidR="009703EF">
        <w:rPr>
          <w:rFonts w:ascii="Bookman Old Style" w:hAnsi="Bookman Old Style" w:cs="Bookman Old Style"/>
          <w:lang w:val="id-ID"/>
        </w:rPr>
        <w:t xml:space="preserve">, Rusunawa II, Rusunawa III, </w:t>
      </w:r>
      <w:r w:rsidR="00495A12">
        <w:rPr>
          <w:rFonts w:ascii="Bookman Old Style" w:hAnsi="Bookman Old Style" w:cs="Bookman Old Style"/>
          <w:lang w:val="id-ID"/>
        </w:rPr>
        <w:t>Rusunawa IV</w:t>
      </w:r>
      <w:r w:rsidR="009703EF">
        <w:rPr>
          <w:rFonts w:ascii="Bookman Old Style" w:hAnsi="Bookman Old Style" w:cs="Bookman Old Style"/>
          <w:lang w:val="id-ID"/>
        </w:rPr>
        <w:t>, kantor eks yacab, GSG dan radio.</w:t>
      </w:r>
      <w:bookmarkStart w:id="0" w:name="_GoBack"/>
      <w:bookmarkEnd w:id="0"/>
    </w:p>
    <w:p w:rsidR="00195414" w:rsidRDefault="00195414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lang w:val="id-ID"/>
        </w:rPr>
      </w:pPr>
    </w:p>
    <w:p w:rsidR="00EE5978" w:rsidRPr="00EE5978" w:rsidRDefault="00EE5978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lang w:val="id-ID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195414" w:rsidRDefault="00195414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P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11469E" w:rsidRDefault="0011469E">
      <w:pPr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>S</w:t>
      </w:r>
      <w:r w:rsidR="002C2867">
        <w:rPr>
          <w:rFonts w:ascii="Bookman Old Style" w:hAnsi="Bookman Old Style" w:cs="Bookman Old Style"/>
          <w:sz w:val="18"/>
          <w:szCs w:val="18"/>
        </w:rPr>
        <w:t xml:space="preserve">OP </w:t>
      </w:r>
      <w:r w:rsidR="002C2867">
        <w:rPr>
          <w:rFonts w:ascii="Bookman Old Style" w:hAnsi="Bookman Old Style" w:cs="Bookman Old Style"/>
          <w:sz w:val="18"/>
          <w:szCs w:val="18"/>
          <w:lang w:val="id-ID"/>
        </w:rPr>
        <w:t>Merawat bunga</w:t>
      </w:r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11469E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0C"/>
    <w:rsid w:val="0011469E"/>
    <w:rsid w:val="00195414"/>
    <w:rsid w:val="002B43AF"/>
    <w:rsid w:val="002C2867"/>
    <w:rsid w:val="00495A12"/>
    <w:rsid w:val="00625E1D"/>
    <w:rsid w:val="0074064B"/>
    <w:rsid w:val="007715B4"/>
    <w:rsid w:val="009703EF"/>
    <w:rsid w:val="00E3170C"/>
    <w:rsid w:val="00EE5978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9</cp:revision>
  <dcterms:created xsi:type="dcterms:W3CDTF">2016-04-28T03:15:00Z</dcterms:created>
  <dcterms:modified xsi:type="dcterms:W3CDTF">2022-01-29T00:49:00Z</dcterms:modified>
</cp:coreProperties>
</file>