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38F48">
      <w:pPr>
        <w:pStyle w:val="2"/>
      </w:pPr>
      <w:bookmarkStart w:id="0" w:name="天工弈控-系统操作说明"/>
      <w:r>
        <w:rPr>
          <w:rFonts w:hint="eastAsia"/>
        </w:rPr>
        <w:t>天工·弈控</w:t>
      </w:r>
      <w:r>
        <w:t xml:space="preserve"> </w:t>
      </w:r>
      <w:r>
        <w:rPr>
          <w:rFonts w:hint="eastAsia"/>
        </w:rPr>
        <w:t>系统操作说明</w:t>
      </w:r>
    </w:p>
    <w:p w14:paraId="7358A727">
      <w:bookmarkStart w:id="1" w:name="概述"/>
      <w:r>
        <w:rPr>
          <w:rFonts w:hint="eastAsia"/>
        </w:rPr>
        <w:t>概述</w:t>
      </w:r>
    </w:p>
    <w:p w14:paraId="6CF994CF">
      <w:pPr>
        <w:pStyle w:val="3"/>
      </w:pPr>
      <w:r>
        <w:rPr>
          <w:rFonts w:hint="eastAsia"/>
        </w:rPr>
        <w:t>“天工·弈控”是一套面向离散制造业的”感知-推理-决策-执行”闭环智能操作系统。系统核心功能分为两条业务主线：</w:t>
      </w:r>
    </w:p>
    <w:p w14:paraId="39789BE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异常处理路线</w:t>
      </w:r>
      <w:r>
        <w:rPr>
          <w:rFonts w:hint="eastAsia"/>
        </w:rPr>
        <w:t>：被动响应</w:t>
      </w:r>
      <w:r>
        <w:t xml:space="preserve"> — </w:t>
      </w:r>
      <w:r>
        <w:rPr>
          <w:rFonts w:hint="eastAsia"/>
        </w:rPr>
        <w:t>从异常发现到方案执行的完整闭环</w:t>
      </w:r>
    </w:p>
    <w:p w14:paraId="27BF952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优化路线</w:t>
      </w:r>
      <w:r>
        <w:rPr>
          <w:rFonts w:hint="eastAsia"/>
        </w:rPr>
        <w:t>：主动调度</w:t>
      </w:r>
      <w:r>
        <w:t xml:space="preserve"> — </w:t>
      </w:r>
      <w:r>
        <w:rPr>
          <w:rFonts w:hint="eastAsia"/>
        </w:rPr>
        <w:t>基于工单切换的产线布局动态优化</w:t>
      </w:r>
    </w:p>
    <w:p w14:paraId="3D226763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6690" cy="2383790"/>
            <wp:effectExtent l="0" t="0" r="6350" b="889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9EA8">
      <w:pPr>
        <w:pStyle w:val="24"/>
        <w:numPr>
          <w:ilvl w:val="0"/>
          <w:numId w:val="2"/>
        </w:numPr>
      </w:pPr>
      <w:r>
        <w:rPr>
          <w:rFonts w:hint="eastAsia"/>
        </w:rPr>
        <w:t>在浏览器打开系统入口页面。</w:t>
      </w:r>
    </w:p>
    <w:p w14:paraId="7F0FBDA1">
      <w:pPr>
        <w:pStyle w:val="24"/>
        <w:numPr>
          <w:ilvl w:val="0"/>
          <w:numId w:val="2"/>
        </w:numPr>
      </w:pPr>
      <w:r>
        <w:rPr>
          <w:rFonts w:hint="eastAsia"/>
        </w:rPr>
        <w:t>点击“登录”进入登录页，输入账号与密码。</w:t>
      </w:r>
    </w:p>
    <w:p w14:paraId="143E4FCA">
      <w:pPr>
        <w:pStyle w:val="24"/>
        <w:numPr>
          <w:ilvl w:val="0"/>
          <w:numId w:val="2"/>
        </w:numPr>
      </w:pPr>
      <w:r>
        <w:rPr>
          <w:rFonts w:hint="eastAsia"/>
        </w:rPr>
        <w:t>登录成功后进入系统主控制台。</w:t>
      </w:r>
    </w:p>
    <w:bookmarkEnd w:id="1"/>
    <w:p w14:paraId="6ED60C7F">
      <w:pPr>
        <w:pStyle w:val="4"/>
      </w:pPr>
      <w:bookmarkStart w:id="2" w:name="一异常处理路线被动响应"/>
      <w:r>
        <w:rPr>
          <w:rFonts w:hint="eastAsia"/>
        </w:rPr>
        <w:t>一、异常处理路线（被动响应）</w:t>
      </w:r>
    </w:p>
    <w:p w14:paraId="4B4A4EE5">
      <w:pPr>
        <w:pStyle w:val="3"/>
      </w:pPr>
      <w:r>
        <w:rPr>
          <w:rFonts w:hint="eastAsia"/>
        </w:rPr>
        <w:t>本路线解决工业现场的”突发异常处理”问题，展示系统从发现问题到量化决策的全过程。</w:t>
      </w:r>
    </w:p>
    <w:p w14:paraId="5A747C66">
      <w:pPr>
        <w:pStyle w:val="5"/>
      </w:pPr>
      <w:bookmarkStart w:id="3" w:name="第一步异常触发与发现"/>
      <w:r>
        <w:rPr>
          <w:rFonts w:hint="eastAsia"/>
        </w:rPr>
        <w:t>第一步：异常触发与发现</w:t>
      </w:r>
    </w:p>
    <w:p w14:paraId="4B228218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：生产可视化看板（首页）</w:t>
      </w:r>
    </w:p>
    <w:p w14:paraId="5A4BDD51">
      <w:pPr>
        <w:pStyle w:val="3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1FCFB935">
      <w:pPr>
        <w:pStyle w:val="24"/>
        <w:numPr>
          <w:ilvl w:val="0"/>
          <w:numId w:val="3"/>
        </w:numPr>
      </w:pPr>
      <w:r>
        <w:rPr>
          <w:rFonts w:hint="eastAsia"/>
        </w:rPr>
        <w:t>登录系统后进入生产可视化页面</w:t>
      </w:r>
    </w:p>
    <w:p w14:paraId="377B4E0E">
      <w:pPr>
        <w:pStyle w:val="24"/>
        <w:numPr>
          <w:ilvl w:val="0"/>
          <w:numId w:val="3"/>
        </w:numPr>
      </w:pPr>
      <w:r>
        <w:rPr>
          <w:rFonts w:hint="eastAsia"/>
        </w:rPr>
        <w:t>在页面左侧使用”产线选择器”切换目标产线（SMT产线</w:t>
      </w:r>
      <w:r>
        <w:t xml:space="preserve"> / </w:t>
      </w:r>
      <w:r>
        <w:rPr>
          <w:rFonts w:hint="eastAsia"/>
        </w:rPr>
        <w:t>PCB产线</w:t>
      </w:r>
      <w:r>
        <w:t xml:space="preserve"> / </w:t>
      </w:r>
      <w:r>
        <w:rPr>
          <w:rFonts w:hint="eastAsia"/>
        </w:rPr>
        <w:t>3C组装线）</w:t>
      </w:r>
    </w:p>
    <w:p w14:paraId="704E4BB2">
      <w:pPr>
        <w:pStyle w:val="24"/>
        <w:numPr>
          <w:ilvl w:val="0"/>
          <w:numId w:val="3"/>
        </w:numPr>
      </w:pPr>
      <w:r>
        <w:rPr>
          <w:rFonts w:hint="eastAsia"/>
        </w:rPr>
        <w:t>观察页面右侧”异常信息”面板</w:t>
      </w:r>
    </w:p>
    <w:p w14:paraId="35D84321">
      <w:pPr>
        <w:pStyle w:val="24"/>
        <w:numPr>
          <w:ilvl w:val="0"/>
          <w:numId w:val="3"/>
        </w:numPr>
      </w:pPr>
      <w:r>
        <w:rPr>
          <w:rFonts w:hint="eastAsia"/>
        </w:rPr>
        <w:t>异常按严重程度分级显示</w:t>
      </w:r>
    </w:p>
    <w:p w14:paraId="390D6978">
      <w:pPr>
        <w:pStyle w:val="3"/>
      </w:pPr>
      <w:r>
        <w:rPr>
          <w:rFonts w:hint="eastAsia"/>
          <w:b/>
          <w:bCs/>
        </w:rPr>
        <w:t>界面说明</w:t>
      </w:r>
      <w:r>
        <w:rPr>
          <w:rFonts w:hint="eastAsia"/>
        </w:rPr>
        <w:t>：</w:t>
      </w:r>
    </w:p>
    <w:p w14:paraId="46454DF3">
      <w:pPr>
        <w:pStyle w:val="24"/>
        <w:numPr>
          <w:ilvl w:val="0"/>
          <w:numId w:val="1"/>
        </w:numPr>
      </w:pPr>
      <w:r>
        <w:rPr>
          <w:rFonts w:hint="eastAsia"/>
        </w:rPr>
        <w:t>异常列表展示：发生时间、异常位置、异常描述、严重等级</w:t>
      </w:r>
    </w:p>
    <w:p w14:paraId="416DD631">
      <w:pPr>
        <w:pStyle w:val="24"/>
        <w:numPr>
          <w:ilvl w:val="0"/>
          <w:numId w:val="1"/>
        </w:numPr>
      </w:pPr>
      <w:r>
        <w:rPr>
          <w:rFonts w:hint="eastAsia"/>
        </w:rPr>
        <w:t>右下角”司南数字人”会根据异常状态显示提醒信息</w:t>
      </w:r>
    </w:p>
    <w:p w14:paraId="005B9EF2">
      <w:pPr>
        <w:pStyle w:val="24"/>
        <w:numPr>
          <w:ilvl w:val="0"/>
          <w:numId w:val="1"/>
        </w:numPr>
      </w:pPr>
      <w:r>
        <w:rPr>
          <w:rFonts w:hint="eastAsia"/>
        </w:rPr>
        <w:t>严重异常会触发告警</w:t>
      </w:r>
    </w:p>
    <w:p w14:paraId="4FE37642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6690" cy="2383790"/>
            <wp:effectExtent l="0" t="0" r="6350" b="889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37E1A90D">
      <w:pPr>
        <w:pStyle w:val="5"/>
      </w:pPr>
      <w:bookmarkStart w:id="4" w:name="第二步可解释归因分析"/>
      <w:r>
        <w:rPr>
          <w:rFonts w:hint="eastAsia"/>
        </w:rPr>
        <w:t>第二步：可解释归因分析</w:t>
      </w:r>
    </w:p>
    <w:p w14:paraId="2B8244B9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：点击异常列表中的具体异常条目</w:t>
      </w:r>
    </w:p>
    <w:p w14:paraId="72EA4AEF">
      <w:pPr>
        <w:pStyle w:val="3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36D505A7">
      <w:pPr>
        <w:pStyle w:val="24"/>
        <w:numPr>
          <w:ilvl w:val="0"/>
          <w:numId w:val="4"/>
        </w:numPr>
      </w:pPr>
      <w:r>
        <w:rPr>
          <w:rFonts w:hint="eastAsia"/>
        </w:rPr>
        <w:t>在异常列表中点击目标异常条目</w:t>
      </w:r>
    </w:p>
    <w:p w14:paraId="4B7A1FA4">
      <w:pPr>
        <w:pStyle w:val="24"/>
        <w:numPr>
          <w:ilvl w:val="0"/>
          <w:numId w:val="4"/>
        </w:numPr>
      </w:pPr>
      <w:r>
        <w:rPr>
          <w:rFonts w:hint="eastAsia"/>
        </w:rPr>
        <w:t>系统自动跳转至”格物知识图谱”页面</w:t>
      </w:r>
    </w:p>
    <w:p w14:paraId="7087809A">
      <w:pPr>
        <w:pStyle w:val="24"/>
        <w:numPr>
          <w:ilvl w:val="0"/>
          <w:numId w:val="4"/>
        </w:numPr>
      </w:pPr>
      <w:r>
        <w:rPr>
          <w:rFonts w:hint="eastAsia"/>
        </w:rPr>
        <w:t>查看异常的根因链路：</w:t>
      </w:r>
    </w:p>
    <w:p w14:paraId="4E116264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现象节点</w:t>
      </w:r>
      <w:r>
        <w:rPr>
          <w:rFonts w:hint="eastAsia"/>
        </w:rPr>
        <w:t>：异常的表面表现（如”连续出现10个锡焊不良”）</w:t>
      </w:r>
    </w:p>
    <w:p w14:paraId="76DA8234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直接原因</w:t>
      </w:r>
      <w:r>
        <w:rPr>
          <w:rFonts w:hint="eastAsia"/>
        </w:rPr>
        <w:t>：导致现象的直接因素（如”焊锡温度偏低”）</w:t>
      </w:r>
    </w:p>
    <w:p w14:paraId="0B4C7CE8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根本原因</w:t>
      </w:r>
      <w:r>
        <w:rPr>
          <w:rFonts w:hint="eastAsia"/>
        </w:rPr>
        <w:t>：问题的根源（如”温控器老化，温度波动大”）</w:t>
      </w:r>
    </w:p>
    <w:p w14:paraId="42DD3665">
      <w:pPr>
        <w:pStyle w:val="24"/>
        <w:numPr>
          <w:ilvl w:val="0"/>
          <w:numId w:val="4"/>
        </w:numPr>
      </w:pPr>
      <w:r>
        <w:rPr>
          <w:rFonts w:hint="eastAsia"/>
        </w:rPr>
        <w:t>点击图谱节点查看详细信息</w:t>
      </w:r>
    </w:p>
    <w:p w14:paraId="3110C4B0">
      <w:pPr>
        <w:pStyle w:val="24"/>
        <w:numPr>
          <w:ilvl w:val="0"/>
          <w:numId w:val="4"/>
        </w:numPr>
      </w:pPr>
      <w:r>
        <w:rPr>
          <w:rFonts w:hint="eastAsia"/>
        </w:rPr>
        <w:t>节点详情面板展示：</w:t>
      </w:r>
    </w:p>
    <w:p w14:paraId="456FDF54">
      <w:pPr>
        <w:pStyle w:val="24"/>
        <w:numPr>
          <w:ilvl w:val="1"/>
          <w:numId w:val="1"/>
        </w:numPr>
      </w:pPr>
      <w:r>
        <w:rPr>
          <w:rFonts w:hint="eastAsia"/>
        </w:rPr>
        <w:t>节点类型（现象/原因/解决方案）</w:t>
      </w:r>
    </w:p>
    <w:p w14:paraId="3852BF19">
      <w:pPr>
        <w:pStyle w:val="24"/>
        <w:numPr>
          <w:ilvl w:val="1"/>
          <w:numId w:val="1"/>
        </w:numPr>
      </w:pPr>
      <w:r>
        <w:rPr>
          <w:rFonts w:hint="eastAsia"/>
        </w:rPr>
        <w:t>详细描述</w:t>
      </w:r>
    </w:p>
    <w:p w14:paraId="06DFA7E5">
      <w:pPr>
        <w:pStyle w:val="24"/>
        <w:numPr>
          <w:ilvl w:val="1"/>
          <w:numId w:val="1"/>
        </w:numPr>
      </w:pPr>
      <w:r>
        <w:rPr>
          <w:rFonts w:hint="eastAsia"/>
        </w:rPr>
        <w:t>关联关系</w:t>
      </w:r>
    </w:p>
    <w:p w14:paraId="17F86339">
      <w:pPr>
        <w:pStyle w:val="3"/>
        <w:rPr>
          <w:rFonts w:hint="eastAsia"/>
        </w:rPr>
      </w:pPr>
      <w:r>
        <w:rPr>
          <w:rFonts w:hint="eastAsia"/>
          <w:b/>
          <w:bCs/>
        </w:rPr>
        <w:t>核心价值</w:t>
      </w:r>
      <w:r>
        <w:rPr>
          <w:rFonts w:hint="eastAsia"/>
        </w:rPr>
        <w:t>：系统不是给出黑盒结果，而是基于底层工业知识图谱，展示完整的”证据链条”。</w:t>
      </w:r>
    </w:p>
    <w:p w14:paraId="42C5E70A">
      <w:pPr>
        <w:pStyle w:val="3"/>
        <w:rPr>
          <w:rFonts w:hint="eastAsia"/>
        </w:rPr>
      </w:pPr>
      <w:r>
        <w:drawing>
          <wp:inline distT="0" distB="0" distL="114300" distR="114300">
            <wp:extent cx="5262880" cy="2599690"/>
            <wp:effectExtent l="0" t="0" r="10160" b="635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22C2E89D">
      <w:pPr>
        <w:pStyle w:val="5"/>
      </w:pPr>
      <w:bookmarkStart w:id="5" w:name="第三步量化智能决策"/>
      <w:r>
        <w:rPr>
          <w:rFonts w:hint="eastAsia"/>
        </w:rPr>
        <w:t>第三步：量化智能决策</w:t>
      </w:r>
    </w:p>
    <w:p w14:paraId="430E706F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：在格物页面点击”智能决策”按钮，或从异常列表直接跳转至”司南智控”</w:t>
      </w:r>
    </w:p>
    <w:p w14:paraId="69606EBE">
      <w:pPr>
        <w:pStyle w:val="3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37AE8093">
      <w:pPr>
        <w:numPr>
          <w:ilvl w:val="0"/>
          <w:numId w:val="5"/>
        </w:numPr>
      </w:pPr>
      <w:r>
        <w:rPr>
          <w:rFonts w:hint="eastAsia"/>
        </w:rPr>
        <w:t>进入司南智控页面后，查看根因分析结果</w:t>
      </w:r>
    </w:p>
    <w:p w14:paraId="1BC17B8C">
      <w:pPr>
        <w:numPr>
          <w:ilvl w:val="0"/>
          <w:numId w:val="5"/>
        </w:numPr>
      </w:pPr>
      <w:r>
        <w:rPr>
          <w:rFonts w:hint="eastAsia"/>
        </w:rPr>
        <w:t>系统自动展示多个候选处置方案</w:t>
      </w:r>
    </w:p>
    <w:p w14:paraId="7BEF3E57">
      <w:pPr>
        <w:numPr>
          <w:ilvl w:val="0"/>
          <w:numId w:val="5"/>
        </w:numPr>
      </w:pPr>
      <w:r>
        <w:rPr>
          <w:rFonts w:hint="eastAsia"/>
        </w:rPr>
        <w:t>每个方案附带量化的代价函数评估</w:t>
      </w:r>
    </w:p>
    <w:p w14:paraId="73685D72">
      <w:pPr>
        <w:numPr>
          <w:ilvl w:val="0"/>
          <w:numId w:val="5"/>
        </w:numPr>
      </w:pPr>
      <w:r>
        <w:rPr>
          <w:rFonts w:hint="eastAsia"/>
        </w:rPr>
        <w:t>使用排序功能切换排序维度</w:t>
      </w:r>
    </w:p>
    <w:p w14:paraId="7C497230">
      <w:pPr>
        <w:pStyle w:val="3"/>
        <w:rPr>
          <w:rFonts w:hint="eastAsia"/>
        </w:rPr>
      </w:pPr>
      <w:r>
        <w:rPr>
          <w:rFonts w:hint="eastAsia"/>
          <w:b/>
          <w:bCs/>
        </w:rPr>
        <w:t>核心价值</w:t>
      </w:r>
      <w:r>
        <w:rPr>
          <w:rFonts w:hint="eastAsia"/>
        </w:rPr>
        <w:t>：系统不仅告诉用户”要做什么”，更能量化输出”模型评估与ROI对比报告”，支持高风险场景下的辅助决策。</w:t>
      </w:r>
    </w:p>
    <w:p w14:paraId="5889C9A6">
      <w:pPr>
        <w:pStyle w:val="3"/>
        <w:rPr>
          <w:rFonts w:hint="eastAsia"/>
        </w:rPr>
      </w:pPr>
      <w:r>
        <w:drawing>
          <wp:inline distT="0" distB="0" distL="114300" distR="114300">
            <wp:extent cx="5263515" cy="2512695"/>
            <wp:effectExtent l="0" t="0" r="9525" b="190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4CE9146A">
      <w:pPr>
        <w:pStyle w:val="5"/>
      </w:pPr>
      <w:bookmarkStart w:id="6" w:name="第四步闭环执行"/>
      <w:r>
        <w:rPr>
          <w:rFonts w:hint="eastAsia"/>
        </w:rPr>
        <w:t>第四步：闭环执行</w:t>
      </w:r>
    </w:p>
    <w:p w14:paraId="481E82CC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：选择方案后点击”采纳并执行”按钮</w:t>
      </w:r>
    </w:p>
    <w:p w14:paraId="1B55FC91">
      <w:pPr>
        <w:pStyle w:val="3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0C1D0FF2">
      <w:pPr>
        <w:pStyle w:val="24"/>
        <w:numPr>
          <w:ilvl w:val="0"/>
          <w:numId w:val="6"/>
        </w:numPr>
      </w:pPr>
      <w:r>
        <w:rPr>
          <w:rFonts w:hint="eastAsia"/>
        </w:rPr>
        <w:t>确认选择的方案，点击”采纳并执行”</w:t>
      </w:r>
    </w:p>
    <w:p w14:paraId="640223B2">
      <w:pPr>
        <w:pStyle w:val="24"/>
        <w:numPr>
          <w:ilvl w:val="0"/>
          <w:numId w:val="6"/>
        </w:numPr>
      </w:pPr>
      <w:r>
        <w:rPr>
          <w:rFonts w:hint="eastAsia"/>
        </w:rPr>
        <w:t>系统自动跳转至”智行执行”页面</w:t>
      </w:r>
    </w:p>
    <w:p w14:paraId="2666A98D">
      <w:pPr>
        <w:pStyle w:val="24"/>
        <w:numPr>
          <w:ilvl w:val="0"/>
          <w:numId w:val="6"/>
        </w:numPr>
      </w:pPr>
      <w:r>
        <w:rPr>
          <w:rFonts w:hint="eastAsia"/>
        </w:rPr>
        <w:t>查看执行任务信息</w:t>
      </w:r>
    </w:p>
    <w:p w14:paraId="66407B07">
      <w:pPr>
        <w:pStyle w:val="24"/>
        <w:numPr>
          <w:ilvl w:val="0"/>
          <w:numId w:val="6"/>
        </w:numPr>
      </w:pPr>
      <w:r>
        <w:rPr>
          <w:rFonts w:hint="eastAsia"/>
        </w:rPr>
        <w:t>监控执行进度</w:t>
      </w:r>
    </w:p>
    <w:p w14:paraId="6A8B57D8">
      <w:pPr>
        <w:pStyle w:val="3"/>
      </w:pPr>
      <w:r>
        <w:rPr>
          <w:rFonts w:hint="eastAsia"/>
          <w:b/>
          <w:bCs/>
        </w:rPr>
        <w:t>执行完成后的操作</w:t>
      </w:r>
      <w:r>
        <w:rPr>
          <w:rFonts w:hint="eastAsia"/>
        </w:rPr>
        <w:t>：</w:t>
      </w:r>
    </w:p>
    <w:p w14:paraId="4FAD48CC">
      <w:pPr>
        <w:pStyle w:val="24"/>
        <w:numPr>
          <w:ilvl w:val="0"/>
          <w:numId w:val="1"/>
        </w:numPr>
      </w:pPr>
      <w:r>
        <w:rPr>
          <w:rFonts w:hint="eastAsia"/>
        </w:rPr>
        <w:t>点击”返回诊断”：继续处理其他异常</w:t>
      </w:r>
    </w:p>
    <w:p w14:paraId="1AD4F0B5">
      <w:pPr>
        <w:pStyle w:val="24"/>
        <w:numPr>
          <w:ilvl w:val="0"/>
          <w:numId w:val="1"/>
        </w:numPr>
      </w:pPr>
      <w:r>
        <w:rPr>
          <w:rFonts w:hint="eastAsia"/>
        </w:rPr>
        <w:t>点击”返回首页”：回到生产可视化看板</w:t>
      </w:r>
    </w:p>
    <w:p w14:paraId="25468DD2">
      <w:pPr>
        <w:pStyle w:val="24"/>
        <w:numPr>
          <w:numId w:val="0"/>
        </w:numPr>
        <w:spacing w:before="36" w:after="36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714115"/>
            <wp:effectExtent l="0" t="0" r="6985" b="4445"/>
            <wp:docPr id="12" name="图片 12" descr="PixPin_2026-02-26_10-33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ixPin_2026-02-26_10-33-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804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33C2C265">
      <w:pPr>
        <w:pStyle w:val="4"/>
      </w:pPr>
      <w:bookmarkStart w:id="7" w:name="二优化路线主动调度"/>
      <w:r>
        <w:rPr>
          <w:rFonts w:hint="eastAsia"/>
        </w:rPr>
        <w:t>二、优化路线（主动调度）</w:t>
      </w:r>
    </w:p>
    <w:p w14:paraId="4FEBFBBF">
      <w:pPr>
        <w:pStyle w:val="3"/>
      </w:pPr>
      <w:r>
        <w:rPr>
          <w:rFonts w:hint="eastAsia"/>
        </w:rPr>
        <w:t>本路线解决离散制造中”频繁换线导致产线拥堵”的问题，体现系统的复杂任务编排与空间运筹能力。</w:t>
      </w:r>
    </w:p>
    <w:p w14:paraId="23676CEE">
      <w:pPr>
        <w:pStyle w:val="5"/>
      </w:pPr>
      <w:bookmarkStart w:id="8" w:name="第一步工单感知与预警"/>
      <w:r>
        <w:rPr>
          <w:rFonts w:hint="eastAsia"/>
        </w:rPr>
        <w:t>第一步：工单感知与预警</w:t>
      </w:r>
    </w:p>
    <w:p w14:paraId="5BB65B1E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：生产可视化看板的”生产计划”模块</w:t>
      </w:r>
    </w:p>
    <w:p w14:paraId="5957C70C">
      <w:pPr>
        <w:pStyle w:val="3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6B8FB36E">
      <w:pPr>
        <w:pStyle w:val="24"/>
        <w:numPr>
          <w:ilvl w:val="0"/>
          <w:numId w:val="7"/>
        </w:numPr>
      </w:pPr>
      <w:r>
        <w:rPr>
          <w:rFonts w:hint="eastAsia"/>
        </w:rPr>
        <w:t>在生产可视化页面找到”生产计划”卡片</w:t>
      </w:r>
    </w:p>
    <w:p w14:paraId="37D08D08">
      <w:pPr>
        <w:pStyle w:val="24"/>
        <w:numPr>
          <w:ilvl w:val="0"/>
          <w:numId w:val="7"/>
        </w:numPr>
      </w:pPr>
      <w:r>
        <w:rPr>
          <w:rFonts w:hint="eastAsia"/>
        </w:rPr>
        <w:t>查看当前工单信息</w:t>
      </w:r>
    </w:p>
    <w:p w14:paraId="7095F24A">
      <w:pPr>
        <w:pStyle w:val="24"/>
        <w:numPr>
          <w:ilvl w:val="0"/>
          <w:numId w:val="7"/>
        </w:numPr>
      </w:pPr>
      <w:r>
        <w:rPr>
          <w:rFonts w:hint="eastAsia"/>
        </w:rPr>
        <w:t>查看下一工单预览</w:t>
      </w:r>
    </w:p>
    <w:p w14:paraId="7FA8F373">
      <w:pPr>
        <w:pStyle w:val="24"/>
        <w:numPr>
          <w:ilvl w:val="0"/>
          <w:numId w:val="7"/>
        </w:numPr>
      </w:pPr>
      <w:r>
        <w:rPr>
          <w:rFonts w:hint="eastAsia"/>
        </w:rPr>
        <w:t>观察产品切换预警</w:t>
      </w:r>
    </w:p>
    <w:p w14:paraId="4CBF958B">
      <w:pPr>
        <w:pStyle w:val="24"/>
        <w:numPr>
          <w:ilvl w:val="1"/>
          <w:numId w:val="1"/>
        </w:numPr>
      </w:pPr>
      <w:r>
        <w:rPr>
          <w:rFonts w:hint="eastAsia"/>
        </w:rPr>
        <w:t>当下一工单产品编号变化时，系统自动显示”产品变化预警”标签</w:t>
      </w:r>
    </w:p>
    <w:p w14:paraId="3BF0E514">
      <w:pPr>
        <w:pStyle w:val="24"/>
        <w:numPr>
          <w:ilvl w:val="1"/>
          <w:numId w:val="1"/>
        </w:numPr>
      </w:pPr>
      <w:r>
        <w:rPr>
          <w:rFonts w:hint="eastAsia"/>
        </w:rPr>
        <w:t>点击展开工艺流程对比，查看差异</w:t>
      </w:r>
    </w:p>
    <w:p w14:paraId="39701168">
      <w:pPr>
        <w:pStyle w:val="24"/>
        <w:numPr>
          <w:numId w:val="0"/>
        </w:numPr>
        <w:spacing w:before="36" w:after="3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5. 点击当前工单的"工艺流程"折叠面板，查看当前产品的工序列表，点击下一工单的"工艺流程"折叠面板，查看下一产品的工序列表</w:t>
      </w:r>
    </w:p>
    <w:p w14:paraId="1C23A5FD">
      <w:pPr>
        <w:pStyle w:val="24"/>
        <w:numPr>
          <w:numId w:val="0"/>
        </w:numPr>
      </w:pPr>
      <w:r>
        <w:drawing>
          <wp:inline distT="0" distB="0" distL="114300" distR="114300">
            <wp:extent cx="5267325" cy="2350135"/>
            <wp:effectExtent l="0" t="0" r="5715" b="1206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7004323E">
      <w:pPr>
        <w:pStyle w:val="3"/>
        <w:rPr>
          <w:rFonts w:hint="eastAsia"/>
        </w:rPr>
      </w:pPr>
      <w:bookmarkStart w:id="9" w:name="第二步工艺流程差异分析"/>
    </w:p>
    <w:bookmarkEnd w:id="9"/>
    <w:p w14:paraId="049E2A81">
      <w:pPr>
        <w:pStyle w:val="5"/>
      </w:pPr>
      <w:bookmarkStart w:id="10" w:name="第三步算法求解与方案生成"/>
      <w:r>
        <w:rPr>
          <w:rFonts w:hint="eastAsia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步：算法求解与方案生成</w:t>
      </w:r>
    </w:p>
    <w:p w14:paraId="16F0443D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：点击”一键优化布局”按钮</w:t>
      </w:r>
    </w:p>
    <w:p w14:paraId="77CA349A">
      <w:pPr>
        <w:pStyle w:val="3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23987B42">
      <w:pPr>
        <w:pStyle w:val="24"/>
        <w:numPr>
          <w:ilvl w:val="0"/>
          <w:numId w:val="8"/>
        </w:numPr>
      </w:pPr>
      <w:r>
        <w:rPr>
          <w:rFonts w:hint="eastAsia"/>
        </w:rPr>
        <w:t>确认产品切换信息后，点击”一键优化布局”按钮</w:t>
      </w:r>
    </w:p>
    <w:p w14:paraId="4B75A90C">
      <w:pPr>
        <w:pStyle w:val="24"/>
        <w:numPr>
          <w:ilvl w:val="0"/>
          <w:numId w:val="8"/>
        </w:numPr>
      </w:pPr>
      <w:r>
        <w:rPr>
          <w:rFonts w:hint="eastAsia"/>
        </w:rPr>
        <w:t>系统自动跳转至”天筹优化”页面</w:t>
      </w:r>
    </w:p>
    <w:p w14:paraId="450AB329">
      <w:pPr>
        <w:pStyle w:val="24"/>
        <w:numPr>
          <w:ilvl w:val="0"/>
          <w:numId w:val="8"/>
        </w:numPr>
      </w:pPr>
      <w:r>
        <w:rPr>
          <w:rFonts w:hint="eastAsia"/>
        </w:rPr>
        <w:t>系统自动创建优化任务</w:t>
      </w:r>
    </w:p>
    <w:p w14:paraId="758A28F0">
      <w:pPr>
        <w:pStyle w:val="24"/>
        <w:numPr>
          <w:ilvl w:val="0"/>
          <w:numId w:val="8"/>
        </w:numPr>
      </w:pPr>
      <w:r>
        <w:rPr>
          <w:rFonts w:hint="eastAsia"/>
        </w:rPr>
        <w:t>观察优化进度</w:t>
      </w:r>
    </w:p>
    <w:p w14:paraId="683AE341">
      <w:pPr>
        <w:pStyle w:val="24"/>
        <w:numPr>
          <w:ilvl w:val="0"/>
          <w:numId w:val="8"/>
        </w:numPr>
      </w:pPr>
      <w:r>
        <w:rPr>
          <w:rFonts w:hint="eastAsia"/>
        </w:rPr>
        <w:t>优化完成后，查看结果</w:t>
      </w:r>
    </w:p>
    <w:p w14:paraId="75CEF073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7325" cy="2608580"/>
            <wp:effectExtent l="0" t="0" r="5715" b="1270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ABA1">
      <w:pPr>
        <w:pStyle w:val="24"/>
        <w:numPr>
          <w:numId w:val="0"/>
        </w:numPr>
        <w:spacing w:before="36" w:after="36"/>
      </w:pPr>
    </w:p>
    <w:bookmarkEnd w:id="10"/>
    <w:p w14:paraId="3F110A22">
      <w:pPr>
        <w:pStyle w:val="5"/>
      </w:pPr>
      <w:bookmarkStart w:id="11" w:name="第四步方案评估与选择"/>
      <w:r>
        <w:rPr>
          <w:rFonts w:hint="eastAsia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步：方案评估与选择</w:t>
      </w:r>
    </w:p>
    <w:p w14:paraId="2D884248">
      <w:pPr>
        <w:pStyle w:val="3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275AE4D5">
      <w:pPr>
        <w:pStyle w:val="24"/>
        <w:numPr>
          <w:ilvl w:val="0"/>
          <w:numId w:val="9"/>
        </w:numPr>
      </w:pPr>
      <w:r>
        <w:rPr>
          <w:rFonts w:hint="eastAsia"/>
        </w:rPr>
        <w:t>在帕累托前沿图表中查看方案分布</w:t>
      </w:r>
    </w:p>
    <w:p w14:paraId="196D2DED">
      <w:pPr>
        <w:pStyle w:val="24"/>
        <w:numPr>
          <w:ilvl w:val="0"/>
          <w:numId w:val="9"/>
        </w:numPr>
      </w:pPr>
      <w:r>
        <w:rPr>
          <w:rFonts w:hint="eastAsia"/>
        </w:rPr>
        <w:t>点击方案查看详情：</w:t>
      </w:r>
    </w:p>
    <w:p w14:paraId="727E3172">
      <w:pPr>
        <w:pStyle w:val="24"/>
        <w:numPr>
          <w:ilvl w:val="0"/>
          <w:numId w:val="9"/>
        </w:numPr>
      </w:pPr>
      <w:r>
        <w:rPr>
          <w:rFonts w:hint="eastAsia"/>
        </w:rPr>
        <w:t>使用决策偏好设置（可选）：</w:t>
      </w:r>
    </w:p>
    <w:p w14:paraId="2633F018">
      <w:pPr>
        <w:pStyle w:val="24"/>
        <w:numPr>
          <w:ilvl w:val="0"/>
          <w:numId w:val="9"/>
        </w:numPr>
      </w:pPr>
      <w:r>
        <w:rPr>
          <w:rFonts w:hint="eastAsia"/>
        </w:rPr>
        <w:t>选择最优方案，点击”查看仿真效果”</w:t>
      </w:r>
    </w:p>
    <w:p w14:paraId="0ECCD0D2">
      <w:pPr>
        <w:pStyle w:val="24"/>
        <w:numPr>
          <w:ilvl w:val="0"/>
          <w:numId w:val="9"/>
        </w:numPr>
      </w:pPr>
      <w:r>
        <w:rPr>
          <w:rFonts w:hint="eastAsia"/>
        </w:rPr>
        <w:t>跳转至浑天仿真页面，查看布局优化效果</w:t>
      </w:r>
    </w:p>
    <w:p w14:paraId="2CB44C33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4939030" cy="3194685"/>
            <wp:effectExtent l="0" t="0" r="13970" b="5715"/>
            <wp:docPr id="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rcRect b="5801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30F1">
      <w:r>
        <w:drawing>
          <wp:inline distT="0" distB="0" distL="114300" distR="114300">
            <wp:extent cx="4876165" cy="4342130"/>
            <wp:effectExtent l="0" t="0" r="635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rcRect t="42201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bookmarkEnd w:id="11"/>
    <w:p w14:paraId="0D012499">
      <w:pPr>
        <w:pStyle w:val="4"/>
      </w:pPr>
      <w:bookmarkStart w:id="12" w:name="三异常模拟演示功能"/>
      <w:r>
        <w:rPr>
          <w:rFonts w:hint="eastAsia"/>
        </w:rPr>
        <w:t>三、异常模拟演示功能</w:t>
      </w:r>
    </w:p>
    <w:p w14:paraId="25FB228B">
      <w:pPr>
        <w:pStyle w:val="3"/>
      </w:pPr>
      <w:r>
        <w:rPr>
          <w:rFonts w:hint="eastAsia"/>
        </w:rPr>
        <w:t>本功能用于演示系统完整运行流程，便于向使用者展示系统能力。</w:t>
      </w:r>
    </w:p>
    <w:p w14:paraId="6BB845A1">
      <w:pPr>
        <w:pStyle w:val="5"/>
      </w:pPr>
      <w:bookmarkStart w:id="13" w:name="操作步骤"/>
      <w:r>
        <w:rPr>
          <w:rFonts w:hint="eastAsia"/>
        </w:rPr>
        <w:t>操作步骤</w:t>
      </w:r>
    </w:p>
    <w:p w14:paraId="52A8077F">
      <w:pPr>
        <w:pStyle w:val="24"/>
        <w:numPr>
          <w:ilvl w:val="0"/>
          <w:numId w:val="10"/>
        </w:numPr>
      </w:pPr>
      <w:r>
        <w:rPr>
          <w:rFonts w:hint="eastAsia"/>
        </w:rPr>
        <w:t>在生产可视化页面点击”异常模拟”按钮（紫色按钮）</w:t>
      </w:r>
    </w:p>
    <w:p w14:paraId="221AFAFD">
      <w:pPr>
        <w:pStyle w:val="24"/>
        <w:numPr>
          <w:ilvl w:val="0"/>
          <w:numId w:val="10"/>
        </w:numPr>
      </w:pPr>
      <w:r>
        <w:rPr>
          <w:rFonts w:hint="eastAsia"/>
        </w:rPr>
        <w:t>在弹出的场景选择器中选择模拟场景</w:t>
      </w:r>
    </w:p>
    <w:p w14:paraId="2FC26B14">
      <w:pPr>
        <w:pStyle w:val="24"/>
        <w:numPr>
          <w:ilvl w:val="0"/>
          <w:numId w:val="10"/>
        </w:numPr>
      </w:pPr>
      <w:r>
        <w:rPr>
          <w:rFonts w:hint="eastAsia"/>
        </w:rPr>
        <w:t>系统自动演示完整流程：</w:t>
      </w:r>
    </w:p>
    <w:p w14:paraId="6945FE54">
      <w:pPr>
        <w:pStyle w:val="24"/>
        <w:numPr>
          <w:ilvl w:val="1"/>
          <w:numId w:val="1"/>
        </w:numPr>
      </w:pPr>
      <w:r>
        <w:rPr>
          <w:rFonts w:hint="eastAsia"/>
        </w:rPr>
        <w:t>异常触发</w:t>
      </w:r>
      <w:r>
        <w:t xml:space="preserve"> → </w:t>
      </w:r>
      <w:r>
        <w:rPr>
          <w:rFonts w:hint="eastAsia"/>
        </w:rPr>
        <w:t>格物归因</w:t>
      </w:r>
      <w:r>
        <w:t xml:space="preserve"> → </w:t>
      </w:r>
      <w:r>
        <w:rPr>
          <w:rFonts w:hint="eastAsia"/>
        </w:rPr>
        <w:t>司南决策</w:t>
      </w:r>
      <w:r>
        <w:t xml:space="preserve"> → </w:t>
      </w:r>
      <w:r>
        <w:rPr>
          <w:rFonts w:hint="eastAsia"/>
        </w:rPr>
        <w:t>智行执行</w:t>
      </w:r>
    </w:p>
    <w:p w14:paraId="0A0D0172">
      <w:pPr>
        <w:pStyle w:val="24"/>
        <w:numPr>
          <w:ilvl w:val="1"/>
          <w:numId w:val="1"/>
        </w:numPr>
      </w:pPr>
      <w:r>
        <w:rPr>
          <w:rFonts w:hint="eastAsia"/>
        </w:rPr>
        <w:t>底层算法引擎接收预设参数</w:t>
      </w:r>
    </w:p>
    <w:p w14:paraId="0104E59A">
      <w:pPr>
        <w:pStyle w:val="24"/>
        <w:numPr>
          <w:ilvl w:val="1"/>
          <w:numId w:val="1"/>
        </w:numPr>
      </w:pPr>
      <w:r>
        <w:rPr>
          <w:rFonts w:hint="eastAsia"/>
        </w:rPr>
        <w:t>前端完整展示”预警-归因-多方案对比”流程</w:t>
      </w:r>
    </w:p>
    <w:p w14:paraId="22FA4A8E">
      <w:pPr>
        <w:pStyle w:val="24"/>
        <w:numPr>
          <w:numId w:val="0"/>
        </w:numPr>
      </w:pPr>
      <w:r>
        <w:drawing>
          <wp:inline distT="0" distB="0" distL="114300" distR="114300">
            <wp:extent cx="5194935" cy="3227070"/>
            <wp:effectExtent l="0" t="0" r="1905" b="3810"/>
            <wp:docPr id="1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B7EE">
      <w:pPr>
        <w:pStyle w:val="24"/>
        <w:numPr>
          <w:numId w:val="0"/>
        </w:numPr>
      </w:pPr>
      <w:r>
        <w:drawing>
          <wp:inline distT="0" distB="0" distL="114300" distR="114300">
            <wp:extent cx="5266690" cy="2587625"/>
            <wp:effectExtent l="0" t="0" r="6350" b="317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  <w:bookmarkStart w:id="14" w:name="演示数据说明"/>
    </w:p>
    <w:bookmarkEnd w:id="12"/>
    <w:bookmarkEnd w:id="14"/>
    <w:p w14:paraId="11C81716">
      <w:pPr>
        <w:pStyle w:val="4"/>
      </w:pPr>
      <w:bookmarkStart w:id="15" w:name="四其他功能模块"/>
      <w:r>
        <w:rPr>
          <w:rFonts w:hint="eastAsia"/>
        </w:rPr>
        <w:t>四、其他功能模块</w:t>
      </w:r>
    </w:p>
    <w:p w14:paraId="69921A07">
      <w:pPr>
        <w:pStyle w:val="5"/>
      </w:pPr>
      <w:bookmarkStart w:id="16" w:name="格物知识图谱"/>
      <w:r>
        <w:rPr>
          <w:rFonts w:hint="eastAsia"/>
        </w:rPr>
        <w:t>格物知识图谱</w:t>
      </w:r>
    </w:p>
    <w:p w14:paraId="0A838A97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：侧边栏</w:t>
      </w:r>
      <w:r>
        <w:t xml:space="preserve"> → </w:t>
      </w:r>
      <w:r>
        <w:rPr>
          <w:rFonts w:hint="eastAsia"/>
        </w:rPr>
        <w:t>格物知识图谱</w:t>
      </w:r>
    </w:p>
    <w:p w14:paraId="46D278B5">
      <w:pPr>
        <w:pStyle w:val="3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4F453F6C">
      <w:pPr>
        <w:pStyle w:val="24"/>
        <w:numPr>
          <w:ilvl w:val="0"/>
          <w:numId w:val="1"/>
        </w:numPr>
      </w:pPr>
      <w:r>
        <w:rPr>
          <w:rFonts w:hint="eastAsia"/>
        </w:rPr>
        <w:t>展示异常、原因、解决方案之间的关系网络</w:t>
      </w:r>
    </w:p>
    <w:p w14:paraId="66F0571E">
      <w:pPr>
        <w:pStyle w:val="24"/>
        <w:numPr>
          <w:ilvl w:val="0"/>
          <w:numId w:val="1"/>
        </w:numPr>
      </w:pPr>
      <w:r>
        <w:rPr>
          <w:rFonts w:hint="eastAsia"/>
        </w:rPr>
        <w:t>支持按异常ID查看局部图谱</w:t>
      </w:r>
    </w:p>
    <w:p w14:paraId="1260939E">
      <w:pPr>
        <w:pStyle w:val="24"/>
        <w:numPr>
          <w:ilvl w:val="0"/>
          <w:numId w:val="1"/>
        </w:numPr>
      </w:pPr>
      <w:r>
        <w:rPr>
          <w:rFonts w:hint="eastAsia"/>
        </w:rPr>
        <w:t>默认展示全量知识图谱</w:t>
      </w:r>
    </w:p>
    <w:p w14:paraId="51B23F43">
      <w:pPr>
        <w:pStyle w:val="24"/>
        <w:numPr>
          <w:ilvl w:val="0"/>
          <w:numId w:val="1"/>
        </w:numPr>
      </w:pPr>
      <w:r>
        <w:rPr>
          <w:rFonts w:hint="eastAsia"/>
        </w:rPr>
        <w:t>数据源支持Neo4j实时数据</w:t>
      </w:r>
    </w:p>
    <w:p w14:paraId="0D52532F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6690" cy="2606675"/>
            <wp:effectExtent l="0" t="0" r="6350" b="1460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rcRect t="93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0BB8BF76">
      <w:pPr>
        <w:pStyle w:val="5"/>
      </w:pPr>
      <w:bookmarkStart w:id="17" w:name="浑天仿真验证"/>
      <w:r>
        <w:rPr>
          <w:rFonts w:hint="eastAsia"/>
        </w:rPr>
        <w:t>浑天仿真验证</w:t>
      </w:r>
    </w:p>
    <w:p w14:paraId="08672C72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：侧边栏</w:t>
      </w:r>
      <w:r>
        <w:t xml:space="preserve"> → </w:t>
      </w:r>
      <w:r>
        <w:rPr>
          <w:rFonts w:hint="eastAsia"/>
        </w:rPr>
        <w:t>浑天仿真，或从天筹优化跳转</w:t>
      </w:r>
    </w:p>
    <w:p w14:paraId="6EFBAD32">
      <w:pPr>
        <w:pStyle w:val="3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51735CF0">
      <w:pPr>
        <w:pStyle w:val="24"/>
        <w:numPr>
          <w:ilvl w:val="0"/>
          <w:numId w:val="1"/>
        </w:numPr>
      </w:pPr>
      <w:r>
        <w:rPr>
          <w:rFonts w:hint="eastAsia"/>
        </w:rPr>
        <w:t>产线/车间布局可视化</w:t>
      </w:r>
    </w:p>
    <w:p w14:paraId="25B60E90">
      <w:pPr>
        <w:pStyle w:val="24"/>
        <w:numPr>
          <w:ilvl w:val="0"/>
          <w:numId w:val="1"/>
        </w:numPr>
      </w:pPr>
      <w:r>
        <w:rPr>
          <w:rFonts w:hint="eastAsia"/>
        </w:rPr>
        <w:t>AGV路径仿真</w:t>
      </w:r>
    </w:p>
    <w:p w14:paraId="7DE9EFAB">
      <w:pPr>
        <w:pStyle w:val="24"/>
        <w:numPr>
          <w:ilvl w:val="0"/>
          <w:numId w:val="1"/>
        </w:numPr>
      </w:pPr>
      <w:r>
        <w:rPr>
          <w:rFonts w:hint="eastAsia"/>
        </w:rPr>
        <w:t>优化前后布局对比</w:t>
      </w:r>
    </w:p>
    <w:p w14:paraId="19E0E950">
      <w:pPr>
        <w:pStyle w:val="24"/>
        <w:numPr>
          <w:ilvl w:val="0"/>
          <w:numId w:val="1"/>
        </w:numPr>
      </w:pPr>
      <w:r>
        <w:rPr>
          <w:rFonts w:hint="eastAsia"/>
        </w:rPr>
        <w:t>指标变化展示</w:t>
      </w:r>
    </w:p>
    <w:p w14:paraId="5F356180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2880" cy="2583180"/>
            <wp:effectExtent l="0" t="0" r="10160" b="762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169FCD94">
      <w:pPr>
        <w:pStyle w:val="5"/>
      </w:pPr>
      <w:bookmarkStart w:id="18" w:name="能力商店"/>
      <w:r>
        <w:rPr>
          <w:rFonts w:hint="eastAsia"/>
        </w:rPr>
        <w:t>能力商店</w:t>
      </w:r>
    </w:p>
    <w:p w14:paraId="4EFCC345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：侧边栏</w:t>
      </w:r>
      <w:r>
        <w:t xml:space="preserve"> → </w:t>
      </w:r>
      <w:r>
        <w:rPr>
          <w:rFonts w:hint="eastAsia"/>
        </w:rPr>
        <w:t>能力商店</w:t>
      </w:r>
    </w:p>
    <w:p w14:paraId="00DCA350">
      <w:pPr>
        <w:pStyle w:val="3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1550CFA9">
      <w:pPr>
        <w:pStyle w:val="24"/>
        <w:numPr>
          <w:ilvl w:val="0"/>
          <w:numId w:val="1"/>
        </w:numPr>
      </w:pPr>
      <w:r>
        <w:rPr>
          <w:rFonts w:hint="eastAsia"/>
        </w:rPr>
        <w:t>浏览模块化能力（视觉算法、优化引擎等）</w:t>
      </w:r>
    </w:p>
    <w:p w14:paraId="41698CB4">
      <w:pPr>
        <w:pStyle w:val="24"/>
        <w:numPr>
          <w:ilvl w:val="0"/>
          <w:numId w:val="1"/>
        </w:numPr>
      </w:pPr>
      <w:r>
        <w:rPr>
          <w:rFonts w:hint="eastAsia"/>
        </w:rPr>
        <w:t>订阅/开通新能力</w:t>
      </w:r>
    </w:p>
    <w:p w14:paraId="0A597213">
      <w:pPr>
        <w:pStyle w:val="24"/>
        <w:numPr>
          <w:ilvl w:val="0"/>
          <w:numId w:val="1"/>
        </w:numPr>
      </w:pPr>
      <w:r>
        <w:rPr>
          <w:rFonts w:hint="eastAsia"/>
        </w:rPr>
        <w:t>查看已订阅能力</w:t>
      </w:r>
    </w:p>
    <w:p w14:paraId="1339557B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7960" cy="2628900"/>
            <wp:effectExtent l="0" t="0" r="5080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78399018">
      <w:pPr>
        <w:pStyle w:val="5"/>
      </w:pPr>
      <w:bookmarkStart w:id="19" w:name="os内核接入"/>
      <w:r>
        <w:rPr>
          <w:rFonts w:hint="eastAsia"/>
        </w:rPr>
        <w:t>OS内核接入</w:t>
      </w:r>
    </w:p>
    <w:p w14:paraId="14C6AA54">
      <w:pPr>
        <w:pStyle w:val="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：侧边栏</w:t>
      </w:r>
      <w:r>
        <w:t xml:space="preserve"> → </w:t>
      </w:r>
      <w:r>
        <w:rPr>
          <w:rFonts w:hint="eastAsia"/>
        </w:rPr>
        <w:t>OS内核接入</w:t>
      </w:r>
    </w:p>
    <w:p w14:paraId="782D2E2F">
      <w:pPr>
        <w:pStyle w:val="3"/>
      </w:pP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</w:p>
    <w:p w14:paraId="2D8286A6">
      <w:pPr>
        <w:pStyle w:val="24"/>
        <w:numPr>
          <w:ilvl w:val="0"/>
          <w:numId w:val="1"/>
        </w:numPr>
      </w:pPr>
      <w:r>
        <w:rPr>
          <w:rFonts w:hint="eastAsia"/>
        </w:rPr>
        <w:t>扫描局域网设备（PLC、相机、传感器等）</w:t>
      </w:r>
    </w:p>
    <w:p w14:paraId="0D4CF3C4">
      <w:pPr>
        <w:pStyle w:val="24"/>
        <w:numPr>
          <w:ilvl w:val="0"/>
          <w:numId w:val="1"/>
        </w:numPr>
      </w:pPr>
      <w:r>
        <w:rPr>
          <w:rFonts w:hint="eastAsia"/>
        </w:rPr>
        <w:t>协议匹配与接入确认</w:t>
      </w:r>
    </w:p>
    <w:p w14:paraId="5577945D">
      <w:pPr>
        <w:pStyle w:val="24"/>
        <w:numPr>
          <w:ilvl w:val="0"/>
          <w:numId w:val="1"/>
        </w:numPr>
      </w:pPr>
      <w:r>
        <w:rPr>
          <w:rFonts w:hint="eastAsia"/>
        </w:rPr>
        <w:t>诊断报告生成</w:t>
      </w:r>
    </w:p>
    <w:p w14:paraId="7D5E8E30">
      <w:r>
        <w:drawing>
          <wp:inline distT="0" distB="0" distL="114300" distR="114300">
            <wp:extent cx="5264785" cy="2576195"/>
            <wp:effectExtent l="0" t="0" r="8255" b="1460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BE50">
      <w:pPr>
        <w:pStyle w:val="5"/>
        <w:bidi w:val="0"/>
      </w:pPr>
      <w:r>
        <w:rPr>
          <w:rFonts w:hint="eastAsia"/>
        </w:rPr>
        <w:t>场景编排</w:t>
      </w:r>
    </w:p>
    <w:p w14:paraId="7ED87976">
      <w:pPr>
        <w:pStyle w:val="3"/>
      </w:pPr>
      <w:r>
        <w:rPr>
          <w:rFonts w:hint="eastAsia"/>
        </w:rPr>
        <w:t>用途：通过可视化方式编排业务流程与模块能力。</w:t>
      </w:r>
    </w:p>
    <w:p w14:paraId="56D062D0">
      <w:pPr>
        <w:pStyle w:val="3"/>
      </w:pPr>
      <w:r>
        <w:rPr>
          <w:rFonts w:hint="eastAsia"/>
        </w:rPr>
        <w:t>操作步骤：</w:t>
      </w:r>
    </w:p>
    <w:p w14:paraId="0BAF51D7">
      <w:pPr>
        <w:pStyle w:val="24"/>
        <w:numPr>
          <w:ilvl w:val="0"/>
          <w:numId w:val="11"/>
        </w:numPr>
      </w:pPr>
      <w:r>
        <w:rPr>
          <w:rFonts w:hint="eastAsia"/>
        </w:rPr>
        <w:t>进入“场景编排”。</w:t>
      </w:r>
    </w:p>
    <w:p w14:paraId="0A3BF27B">
      <w:pPr>
        <w:pStyle w:val="24"/>
        <w:numPr>
          <w:ilvl w:val="0"/>
          <w:numId w:val="11"/>
        </w:numPr>
      </w:pPr>
      <w:r>
        <w:rPr>
          <w:rFonts w:hint="eastAsia"/>
        </w:rPr>
        <w:t>选择场景模板或新建流程。</w:t>
      </w:r>
    </w:p>
    <w:p w14:paraId="52085F91">
      <w:pPr>
        <w:pStyle w:val="24"/>
        <w:numPr>
          <w:ilvl w:val="0"/>
          <w:numId w:val="11"/>
        </w:numPr>
      </w:pPr>
      <w:r>
        <w:rPr>
          <w:rFonts w:hint="eastAsia"/>
        </w:rPr>
        <w:t>拖拽模块到编排画布，配置参数与连接关系。</w:t>
      </w:r>
    </w:p>
    <w:p w14:paraId="2BD772F6">
      <w:pPr>
        <w:pStyle w:val="24"/>
        <w:numPr>
          <w:ilvl w:val="0"/>
          <w:numId w:val="11"/>
        </w:numPr>
      </w:pPr>
      <w:r>
        <w:rPr>
          <w:rFonts w:hint="eastAsia"/>
        </w:rPr>
        <w:t>保存并发布场景。</w:t>
      </w:r>
    </w:p>
    <w:p w14:paraId="2B64D625">
      <w:r>
        <w:drawing>
          <wp:inline distT="0" distB="0" distL="114300" distR="114300">
            <wp:extent cx="5269230" cy="2606675"/>
            <wp:effectExtent l="0" t="0" r="3810" b="1460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4D69"/>
    <w:p w14:paraId="2F66AA38">
      <w:pPr>
        <w:pStyle w:val="5"/>
        <w:bidi w:val="0"/>
      </w:pPr>
      <w:bookmarkStart w:id="20" w:name="开发者生态"/>
      <w:r>
        <w:rPr>
          <w:rFonts w:hint="eastAsia"/>
        </w:rPr>
        <w:t>开发者生态</w:t>
      </w:r>
    </w:p>
    <w:p w14:paraId="2895C71E">
      <w:pPr>
        <w:pStyle w:val="3"/>
      </w:pPr>
      <w:r>
        <w:rPr>
          <w:rFonts w:hint="eastAsia"/>
        </w:rPr>
        <w:t>用途：提供</w:t>
      </w:r>
      <w:r>
        <w:t xml:space="preserve"> </w:t>
      </w:r>
      <w:r>
        <w:rPr>
          <w:rFonts w:hint="eastAsia"/>
        </w:rPr>
        <w:t>OpenAPI、SDK、工具与沙箱环境，便于集成。</w:t>
      </w:r>
    </w:p>
    <w:p w14:paraId="089CACC1">
      <w:pPr>
        <w:pStyle w:val="3"/>
      </w:pPr>
      <w:r>
        <w:rPr>
          <w:rFonts w:hint="eastAsia"/>
        </w:rPr>
        <w:t>操作步骤：</w:t>
      </w:r>
    </w:p>
    <w:p w14:paraId="3A1D17DB">
      <w:pPr>
        <w:pStyle w:val="24"/>
        <w:numPr>
          <w:ilvl w:val="0"/>
          <w:numId w:val="12"/>
        </w:numPr>
      </w:pPr>
      <w:r>
        <w:rPr>
          <w:rFonts w:hint="eastAsia"/>
        </w:rPr>
        <w:t>进入“开发者生态”。</w:t>
      </w:r>
    </w:p>
    <w:p w14:paraId="1F4D57D6">
      <w:pPr>
        <w:pStyle w:val="24"/>
        <w:numPr>
          <w:ilvl w:val="0"/>
          <w:numId w:val="12"/>
        </w:numPr>
      </w:pPr>
      <w:r>
        <w:rPr>
          <w:rFonts w:hint="eastAsia"/>
        </w:rPr>
        <w:t>查看</w:t>
      </w:r>
      <w:r>
        <w:t xml:space="preserve"> API </w:t>
      </w:r>
      <w:r>
        <w:rPr>
          <w:rFonts w:hint="eastAsia"/>
        </w:rPr>
        <w:t>列表与调用说明。</w:t>
      </w:r>
    </w:p>
    <w:p w14:paraId="7A3599C3">
      <w:pPr>
        <w:pStyle w:val="24"/>
        <w:numPr>
          <w:ilvl w:val="0"/>
          <w:numId w:val="12"/>
        </w:numPr>
      </w:pPr>
      <w:r>
        <w:rPr>
          <w:rFonts w:hint="eastAsia"/>
        </w:rPr>
        <w:t>选择</w:t>
      </w:r>
      <w:r>
        <w:t xml:space="preserve"> SDK </w:t>
      </w:r>
      <w:r>
        <w:rPr>
          <w:rFonts w:hint="eastAsia"/>
        </w:rPr>
        <w:t>安装命令并集成到项目。</w:t>
      </w:r>
    </w:p>
    <w:p w14:paraId="3E17F5EA">
      <w:pPr>
        <w:pStyle w:val="24"/>
        <w:numPr>
          <w:ilvl w:val="0"/>
          <w:numId w:val="12"/>
        </w:numPr>
      </w:pPr>
      <w:r>
        <w:rPr>
          <w:rFonts w:hint="eastAsia"/>
        </w:rPr>
        <w:t>使用在线调试工具或沙箱进行验证。</w:t>
      </w:r>
    </w:p>
    <w:p w14:paraId="192A7244">
      <w:pPr>
        <w:pStyle w:val="24"/>
        <w:numPr>
          <w:ilvl w:val="0"/>
          <w:numId w:val="0"/>
        </w:numPr>
        <w:spacing w:before="36" w:after="36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45380" cy="6339205"/>
            <wp:effectExtent l="0" t="0" r="7620" b="635"/>
            <wp:docPr id="17" name="图片 17" descr="PixPin_2026-02-26_10-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PixPin_2026-02-26_10-36-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BE22">
      <w:pPr>
        <w:pStyle w:val="5"/>
        <w:bidi w:val="0"/>
      </w:pPr>
      <w:bookmarkStart w:id="21" w:name="系统设置"/>
      <w:bookmarkStart w:id="23" w:name="_GoBack"/>
      <w:bookmarkEnd w:id="23"/>
      <w:r>
        <w:rPr>
          <w:rFonts w:hint="eastAsia"/>
        </w:rPr>
        <w:t>系统设置</w:t>
      </w:r>
    </w:p>
    <w:p w14:paraId="11745C61">
      <w:pPr>
        <w:pStyle w:val="3"/>
      </w:pPr>
      <w:r>
        <w:rPr>
          <w:rFonts w:hint="eastAsia"/>
        </w:rPr>
        <w:t>用途：管理账号信息、通知、外观与安全。</w:t>
      </w:r>
    </w:p>
    <w:p w14:paraId="2B96CDBC">
      <w:pPr>
        <w:pStyle w:val="3"/>
      </w:pPr>
      <w:r>
        <w:rPr>
          <w:rFonts w:hint="eastAsia"/>
        </w:rPr>
        <w:t>操作步骤：</w:t>
      </w:r>
    </w:p>
    <w:p w14:paraId="2BBD0F4F">
      <w:pPr>
        <w:pStyle w:val="24"/>
        <w:numPr>
          <w:ilvl w:val="0"/>
          <w:numId w:val="13"/>
        </w:numPr>
      </w:pPr>
      <w:r>
        <w:rPr>
          <w:rFonts w:hint="eastAsia"/>
        </w:rPr>
        <w:t>进入“系统设置”。</w:t>
      </w:r>
    </w:p>
    <w:p w14:paraId="5A4B1A6B">
      <w:pPr>
        <w:pStyle w:val="24"/>
        <w:numPr>
          <w:ilvl w:val="0"/>
          <w:numId w:val="13"/>
        </w:numPr>
      </w:pPr>
      <w:r>
        <w:rPr>
          <w:rFonts w:hint="eastAsia"/>
        </w:rPr>
        <w:t>在“账号信息”中修改个人资料。</w:t>
      </w:r>
    </w:p>
    <w:p w14:paraId="57D919EA">
      <w:pPr>
        <w:pStyle w:val="24"/>
        <w:numPr>
          <w:ilvl w:val="0"/>
          <w:numId w:val="13"/>
        </w:numPr>
      </w:pPr>
      <w:r>
        <w:rPr>
          <w:rFonts w:hint="eastAsia"/>
        </w:rPr>
        <w:t>在“通知管理”设置通知方式与频率。</w:t>
      </w:r>
    </w:p>
    <w:p w14:paraId="3D57E18A">
      <w:pPr>
        <w:pStyle w:val="24"/>
        <w:numPr>
          <w:ilvl w:val="0"/>
          <w:numId w:val="13"/>
        </w:numPr>
      </w:pPr>
      <w:r>
        <w:rPr>
          <w:rFonts w:hint="eastAsia"/>
        </w:rPr>
        <w:t>在“界面外观”切换主题与显示方式。</w:t>
      </w:r>
    </w:p>
    <w:p w14:paraId="54ADFC53">
      <w:pPr>
        <w:pStyle w:val="24"/>
        <w:numPr>
          <w:ilvl w:val="0"/>
          <w:numId w:val="13"/>
        </w:numPr>
      </w:pPr>
      <w:r>
        <w:rPr>
          <w:rFonts w:hint="eastAsia"/>
        </w:rPr>
        <w:t>在“安全设置”管理密码与安全策略。</w:t>
      </w:r>
    </w:p>
    <w:p w14:paraId="5AFA67CE">
      <w:pPr>
        <w:pStyle w:val="24"/>
        <w:numPr>
          <w:ilvl w:val="0"/>
          <w:numId w:val="0"/>
        </w:numPr>
        <w:spacing w:before="36" w:after="36"/>
      </w:pPr>
      <w:r>
        <w:drawing>
          <wp:inline distT="0" distB="0" distL="114300" distR="114300">
            <wp:extent cx="5266055" cy="2611120"/>
            <wp:effectExtent l="0" t="0" r="6985" b="1016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  <w:bookmarkEnd w:id="21"/>
    </w:p>
    <w:bookmarkEnd w:id="15"/>
    <w:bookmarkEnd w:id="19"/>
    <w:p w14:paraId="0FCC0122">
      <w:pPr>
        <w:pStyle w:val="4"/>
      </w:pPr>
      <w:bookmarkStart w:id="22" w:name="五常见问题"/>
      <w:r>
        <w:rPr>
          <w:rFonts w:hint="eastAsia"/>
        </w:rPr>
        <w:t>五、常见问题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056"/>
      </w:tblGrid>
      <w:tr w14:paraId="42D1A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9EDE7D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02D44BD0">
            <w:pPr>
              <w:pStyle w:val="24"/>
            </w:pPr>
            <w:r>
              <w:rPr>
                <w:rFonts w:hint="eastAsia"/>
              </w:rPr>
              <w:t>解决方案</w:t>
            </w:r>
          </w:p>
        </w:tc>
      </w:tr>
      <w:tr w14:paraId="3EDD1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DB295">
            <w:pPr>
              <w:pStyle w:val="24"/>
            </w:pPr>
            <w:r>
              <w:rPr>
                <w:rFonts w:hint="eastAsia"/>
              </w:rPr>
              <w:t>无法登录</w:t>
            </w:r>
          </w:p>
        </w:tc>
        <w:tc>
          <w:p w14:paraId="1969359B">
            <w:pPr>
              <w:pStyle w:val="24"/>
            </w:pPr>
            <w:r>
              <w:rPr>
                <w:rFonts w:hint="eastAsia"/>
              </w:rPr>
              <w:t>确认账号已创建且后端服务已启动</w:t>
            </w:r>
          </w:p>
        </w:tc>
      </w:tr>
      <w:tr w14:paraId="2FC87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83563">
            <w:pPr>
              <w:pStyle w:val="24"/>
            </w:pPr>
            <w:r>
              <w:rPr>
                <w:rFonts w:hint="eastAsia"/>
              </w:rPr>
              <w:t>知识图谱为空</w:t>
            </w:r>
          </w:p>
        </w:tc>
        <w:tc>
          <w:p w14:paraId="4CE46A62">
            <w:pPr>
              <w:pStyle w:val="24"/>
            </w:pPr>
            <w:r>
              <w:rPr>
                <w:rFonts w:hint="eastAsia"/>
              </w:rPr>
              <w:t>确认Neo4j服务已启动并导入数据</w:t>
            </w:r>
          </w:p>
        </w:tc>
      </w:tr>
      <w:tr w14:paraId="0C1F9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51F46">
            <w:pPr>
              <w:pStyle w:val="24"/>
            </w:pPr>
            <w:r>
              <w:rPr>
                <w:rFonts w:hint="eastAsia"/>
              </w:rPr>
              <w:t>优化任务无结果</w:t>
            </w:r>
          </w:p>
        </w:tc>
        <w:tc>
          <w:p w14:paraId="249DFE32">
            <w:pPr>
              <w:pStyle w:val="24"/>
            </w:pPr>
            <w:r>
              <w:rPr>
                <w:rFonts w:hint="eastAsia"/>
              </w:rPr>
              <w:t>检查天筹后端服务状态与任务参数</w:t>
            </w:r>
          </w:p>
        </w:tc>
      </w:tr>
      <w:tr w14:paraId="1CEAB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F4E01">
            <w:pPr>
              <w:pStyle w:val="24"/>
            </w:pPr>
            <w:r>
              <w:rPr>
                <w:rFonts w:hint="eastAsia"/>
              </w:rPr>
              <w:t>异常列表无数据</w:t>
            </w:r>
          </w:p>
        </w:tc>
        <w:tc>
          <w:p w14:paraId="3AAACF3D">
            <w:pPr>
              <w:pStyle w:val="24"/>
            </w:pPr>
            <w:r>
              <w:rPr>
                <w:rFonts w:hint="eastAsia"/>
              </w:rPr>
              <w:t>切换产线类型，或检查数据采集服务</w:t>
            </w:r>
          </w:p>
        </w:tc>
      </w:tr>
      <w:tr w14:paraId="00589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E94F9">
            <w:pPr>
              <w:pStyle w:val="24"/>
            </w:pPr>
            <w:r>
              <w:rPr>
                <w:rFonts w:hint="eastAsia"/>
              </w:rPr>
              <w:t>执行任务卡住</w:t>
            </w:r>
          </w:p>
        </w:tc>
        <w:tc>
          <w:p w14:paraId="376D59F0">
            <w:pPr>
              <w:pStyle w:val="24"/>
            </w:pPr>
            <w:r>
              <w:rPr>
                <w:rFonts w:hint="eastAsia"/>
              </w:rPr>
              <w:t>查看实时日志，确认设备连接状态</w:t>
            </w:r>
          </w:p>
        </w:tc>
      </w:tr>
    </w:tbl>
    <w:p w14:paraId="72E0604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2"/>
    <w:p w14:paraId="33FF76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80204"/>
    <w:rsid w:val="05680204"/>
    <w:rsid w:val="334B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Ascii" w:hAnsiTheme="majorAscii" w:eastAsiaTheme="majorEastAsia" w:cstheme="majorBidi"/>
      <w:color w:val="000000" w:themeColor="text1"/>
      <w:sz w:val="40"/>
      <w:szCs w:val="40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Ascii" w:hAnsiTheme="majorAscii" w:eastAsiaTheme="majorEastAsia" w:cstheme="majorBidi"/>
      <w:color w:val="000000" w:themeColor="text1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Theme="minorAscii" w:hAnsiTheme="minorAscii" w:eastAsiaTheme="majorEastAsia" w:cstheme="majorBidi"/>
      <w:color w:val="000000" w:themeColor="text1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2026-02-26T02:47:00Z</dcterms:created>
  <dc:creator>张蕊</dc:creator>
  <cp:lastModifiedBy>张蕊</cp:lastModifiedBy>
  <dcterms:modified xsi:type="dcterms:W3CDTF">2026-02-26T03:17:14Z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E496D8C370C54ABC9124789B0150F1B7_11</vt:lpwstr>
  </property>
  <property fmtid="{D5CDD505-2E9C-101B-9397-08002B2CF9AE}" pid="4" name="KSOTemplateDocerSaveRecord">
    <vt:lpwstr>eyJoZGlkIjoiNzYzNDQyMjQ0YTdiYmZiOTZkZWUzM2Y4MjBjYThjNWUiLCJ1c2VySWQiOiIxNzA3Nzg1MTMwIn0=</vt:lpwstr>
  </property>
</Properties>
</file>