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4.2.1.2 核心实体类型</w:t>
      </w:r>
    </w:p>
    <w:p>
      <w:r>
        <w:t>格物模块定义了五类核心实体，分别对应生产运营过程中的关键概念。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实体名称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关键属性</w:t>
            </w:r>
          </w:p>
        </w:tc>
      </w:tr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异常现象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代表生产过程中发生的各类异常事件，包括质量缺陷、设备故障、效率下降、安全事故等，是整个知识图谱的起点和核心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序号(sequence)、名称(name)、现象描述(phenomenon)、严重程度(severity)、产线类型(line_type)、创建时间(created_at)、更新时间(updated_at)</w:t>
            </w:r>
          </w:p>
        </w:tc>
      </w:tr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根本原因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代表导致异常发生的底层原因，采用分层设计，区分「直接原因」和「根本原因」两个层次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类型(type)、描述(description)、置信度(confidence)、影响级别(impact_level)、创建时间(created_at)、更新时间(updated_at)</w:t>
            </w:r>
          </w:p>
        </w:tc>
      </w:tr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解决方案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代表针对特定根因的处置策略，采用分层设计，区分「临时解决办法」和「长期解决办法」两种类型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类型(type)、方法(method)、优先级(priority)、成功率(success_rate)、成本等级(cost_level)、预估时长(estimated_time)、创建时间(created_at)、更新时间(updated_at)</w:t>
            </w:r>
          </w:p>
        </w:tc>
      </w:tr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设备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代表生产设备及其相关属性，是异常分析的重要维度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设备编号、设备类型、工位归属、运行参数、状态</w:t>
            </w:r>
          </w:p>
        </w:tc>
      </w:tr>
      <w:tr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工艺参数</w:t>
            </w:r>
          </w:p>
        </w:tc>
        <w:tc>
          <w:tcPr>
            <w:tcW w:type="dxa" w:w="432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代表生产工艺的关键设置值，是影响产品质量的核心因素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参数名称、标准值、实际值、偏差阈值、产线归属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