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39888" w14:textId="335431BB" w:rsidR="00503449" w:rsidRPr="00D06BAF" w:rsidRDefault="00D06BAF" w:rsidP="00D06BAF">
      <w:pPr>
        <w:jc w:val="center"/>
        <w:rPr>
          <w:rFonts w:ascii="Arial" w:hAnsi="Arial" w:cs="Arial"/>
          <w:sz w:val="32"/>
          <w:szCs w:val="32"/>
        </w:rPr>
      </w:pPr>
      <w:r w:rsidRPr="00D06BAF">
        <w:rPr>
          <w:rFonts w:ascii="Arial" w:hAnsi="Arial" w:cs="Arial"/>
          <w:sz w:val="32"/>
          <w:szCs w:val="32"/>
        </w:rPr>
        <w:t>La Comunicación Atrave</w:t>
      </w:r>
      <w:r>
        <w:rPr>
          <w:rFonts w:ascii="Arial" w:hAnsi="Arial" w:cs="Arial"/>
          <w:sz w:val="32"/>
          <w:szCs w:val="32"/>
        </w:rPr>
        <w:t xml:space="preserve">s </w:t>
      </w:r>
      <w:r w:rsidRPr="00D06BAF">
        <w:rPr>
          <w:rFonts w:ascii="Arial" w:hAnsi="Arial" w:cs="Arial"/>
          <w:sz w:val="32"/>
          <w:szCs w:val="32"/>
        </w:rPr>
        <w:t xml:space="preserve">De La Palabra </w:t>
      </w:r>
    </w:p>
    <w:p w14:paraId="4FE9C1D6" w14:textId="77777777" w:rsidR="00D06BAF" w:rsidRPr="00D06BAF" w:rsidRDefault="00D06BAF" w:rsidP="00D06BAF">
      <w:pPr>
        <w:jc w:val="center"/>
        <w:rPr>
          <w:rFonts w:ascii="Arial" w:hAnsi="Arial" w:cs="Arial"/>
          <w:sz w:val="32"/>
          <w:szCs w:val="32"/>
        </w:rPr>
      </w:pPr>
    </w:p>
    <w:p w14:paraId="78DA3116" w14:textId="77777777" w:rsidR="00D06BAF" w:rsidRDefault="00D06BAF" w:rsidP="00D06BAF">
      <w:pPr>
        <w:jc w:val="center"/>
        <w:rPr>
          <w:rFonts w:ascii="Arial" w:hAnsi="Arial" w:cs="Arial"/>
          <w:sz w:val="32"/>
          <w:szCs w:val="32"/>
        </w:rPr>
      </w:pPr>
    </w:p>
    <w:p w14:paraId="001EF2A7" w14:textId="77777777" w:rsidR="00D06BAF" w:rsidRPr="00D06BAF" w:rsidRDefault="00D06BAF" w:rsidP="00D06BAF">
      <w:pPr>
        <w:jc w:val="center"/>
        <w:rPr>
          <w:rFonts w:ascii="Arial" w:hAnsi="Arial" w:cs="Arial"/>
          <w:sz w:val="32"/>
          <w:szCs w:val="32"/>
        </w:rPr>
      </w:pPr>
    </w:p>
    <w:p w14:paraId="37D01F23" w14:textId="1C20ABB9" w:rsidR="00D06BAF" w:rsidRPr="00D06BAF" w:rsidRDefault="00D06BAF" w:rsidP="00D06BAF">
      <w:pPr>
        <w:jc w:val="center"/>
        <w:rPr>
          <w:rFonts w:ascii="Arial" w:hAnsi="Arial" w:cs="Arial"/>
          <w:sz w:val="32"/>
          <w:szCs w:val="32"/>
        </w:rPr>
      </w:pPr>
      <w:r w:rsidRPr="00D06BAF">
        <w:rPr>
          <w:rFonts w:ascii="Arial" w:hAnsi="Arial" w:cs="Arial"/>
          <w:sz w:val="32"/>
          <w:szCs w:val="32"/>
        </w:rPr>
        <w:t xml:space="preserve">Escribir </w:t>
      </w:r>
      <w:r w:rsidRPr="00D06BAF">
        <w:rPr>
          <w:rFonts w:ascii="Arial" w:hAnsi="Arial" w:cs="Arial"/>
          <w:sz w:val="32"/>
          <w:szCs w:val="32"/>
        </w:rPr>
        <w:t>Para Ser Visibles En La Sociedad Del Conocimiento</w:t>
      </w:r>
    </w:p>
    <w:p w14:paraId="7A739F78" w14:textId="77777777" w:rsidR="00D06BAF" w:rsidRPr="00D06BAF" w:rsidRDefault="00D06BAF" w:rsidP="00D06BAF">
      <w:pPr>
        <w:jc w:val="center"/>
        <w:rPr>
          <w:rFonts w:ascii="Arial" w:hAnsi="Arial" w:cs="Arial"/>
          <w:sz w:val="32"/>
          <w:szCs w:val="32"/>
        </w:rPr>
      </w:pPr>
    </w:p>
    <w:p w14:paraId="30638F3C" w14:textId="77777777" w:rsidR="00D06BAF" w:rsidRPr="00D06BAF" w:rsidRDefault="00D06BAF" w:rsidP="00D06BAF">
      <w:pPr>
        <w:jc w:val="center"/>
        <w:rPr>
          <w:rFonts w:ascii="Arial" w:hAnsi="Arial" w:cs="Arial"/>
          <w:sz w:val="32"/>
          <w:szCs w:val="32"/>
        </w:rPr>
      </w:pPr>
    </w:p>
    <w:p w14:paraId="20FB3F50" w14:textId="77777777" w:rsidR="00D06BAF" w:rsidRPr="00D06BAF" w:rsidRDefault="00D06BAF" w:rsidP="00D06BAF">
      <w:pPr>
        <w:rPr>
          <w:rFonts w:ascii="Arial" w:hAnsi="Arial" w:cs="Arial"/>
          <w:sz w:val="32"/>
          <w:szCs w:val="32"/>
        </w:rPr>
      </w:pPr>
    </w:p>
    <w:p w14:paraId="0100E6CF" w14:textId="3C77AEB8" w:rsidR="00D06BAF" w:rsidRPr="00D06BAF" w:rsidRDefault="00D06BAF" w:rsidP="00D06BAF">
      <w:pPr>
        <w:jc w:val="center"/>
        <w:rPr>
          <w:rFonts w:ascii="Arial" w:hAnsi="Arial" w:cs="Arial"/>
          <w:sz w:val="32"/>
          <w:szCs w:val="32"/>
        </w:rPr>
      </w:pPr>
      <w:r w:rsidRPr="00D06BAF">
        <w:rPr>
          <w:rFonts w:ascii="Arial" w:hAnsi="Arial" w:cs="Arial"/>
          <w:sz w:val="32"/>
          <w:szCs w:val="32"/>
        </w:rPr>
        <w:t xml:space="preserve">Valentina Hernández Ramírez </w:t>
      </w:r>
    </w:p>
    <w:p w14:paraId="7F7BA784" w14:textId="77777777" w:rsidR="00D06BAF" w:rsidRPr="00D06BAF" w:rsidRDefault="00D06BAF" w:rsidP="00D06BAF">
      <w:pPr>
        <w:jc w:val="center"/>
        <w:rPr>
          <w:rFonts w:ascii="Arial" w:hAnsi="Arial" w:cs="Arial"/>
          <w:sz w:val="32"/>
          <w:szCs w:val="32"/>
        </w:rPr>
      </w:pPr>
    </w:p>
    <w:p w14:paraId="4D8E488E" w14:textId="77777777" w:rsidR="00D06BAF" w:rsidRDefault="00D06BAF" w:rsidP="00D06BAF">
      <w:pPr>
        <w:jc w:val="center"/>
        <w:rPr>
          <w:rFonts w:ascii="Arial" w:hAnsi="Arial" w:cs="Arial"/>
          <w:sz w:val="32"/>
          <w:szCs w:val="32"/>
        </w:rPr>
      </w:pPr>
    </w:p>
    <w:p w14:paraId="1026D198" w14:textId="77777777" w:rsidR="00D06BAF" w:rsidRPr="00D06BAF" w:rsidRDefault="00D06BAF" w:rsidP="00D06BAF">
      <w:pPr>
        <w:rPr>
          <w:rFonts w:ascii="Arial" w:hAnsi="Arial" w:cs="Arial"/>
          <w:sz w:val="32"/>
          <w:szCs w:val="32"/>
        </w:rPr>
      </w:pPr>
    </w:p>
    <w:p w14:paraId="1D9ED4F8" w14:textId="437B5676" w:rsidR="00D06BAF" w:rsidRPr="00D06BAF" w:rsidRDefault="00D06BAF" w:rsidP="00D06BAF">
      <w:pPr>
        <w:jc w:val="center"/>
        <w:rPr>
          <w:rFonts w:ascii="Arial" w:hAnsi="Arial" w:cs="Arial"/>
          <w:sz w:val="32"/>
          <w:szCs w:val="32"/>
        </w:rPr>
      </w:pPr>
      <w:r w:rsidRPr="00D06BAF">
        <w:rPr>
          <w:rFonts w:ascii="Arial" w:hAnsi="Arial" w:cs="Arial"/>
          <w:sz w:val="32"/>
          <w:szCs w:val="32"/>
        </w:rPr>
        <w:t> </w:t>
      </w:r>
      <w:r w:rsidRPr="00D06BAF">
        <w:rPr>
          <w:rFonts w:ascii="Arial" w:hAnsi="Arial" w:cs="Arial"/>
          <w:sz w:val="32"/>
          <w:szCs w:val="32"/>
        </w:rPr>
        <w:t>Sandra Patricia López Mora</w:t>
      </w:r>
    </w:p>
    <w:p w14:paraId="5EC6DD37" w14:textId="77777777" w:rsidR="00D06BAF" w:rsidRPr="00D06BAF" w:rsidRDefault="00D06BAF" w:rsidP="00D06BAF">
      <w:pPr>
        <w:jc w:val="center"/>
        <w:rPr>
          <w:rFonts w:ascii="Arial" w:hAnsi="Arial" w:cs="Arial"/>
          <w:sz w:val="32"/>
          <w:szCs w:val="32"/>
        </w:rPr>
      </w:pPr>
    </w:p>
    <w:p w14:paraId="4FB67A8A" w14:textId="77777777" w:rsidR="00D06BAF" w:rsidRDefault="00D06BAF" w:rsidP="00D06BAF">
      <w:pPr>
        <w:jc w:val="center"/>
        <w:rPr>
          <w:rFonts w:ascii="Arial" w:hAnsi="Arial" w:cs="Arial"/>
          <w:sz w:val="32"/>
          <w:szCs w:val="32"/>
        </w:rPr>
      </w:pPr>
    </w:p>
    <w:p w14:paraId="0EC0C37B" w14:textId="77777777" w:rsidR="00D06BAF" w:rsidRDefault="00D06BAF" w:rsidP="00D06BAF">
      <w:pPr>
        <w:jc w:val="center"/>
        <w:rPr>
          <w:rFonts w:ascii="Arial" w:hAnsi="Arial" w:cs="Arial"/>
          <w:sz w:val="32"/>
          <w:szCs w:val="32"/>
        </w:rPr>
      </w:pPr>
    </w:p>
    <w:p w14:paraId="7A4AC2B2" w14:textId="77777777" w:rsidR="00D06BAF" w:rsidRDefault="00D06BAF" w:rsidP="00D06BAF">
      <w:pPr>
        <w:jc w:val="center"/>
        <w:rPr>
          <w:rFonts w:ascii="Arial" w:hAnsi="Arial" w:cs="Arial"/>
          <w:sz w:val="32"/>
          <w:szCs w:val="32"/>
        </w:rPr>
      </w:pPr>
    </w:p>
    <w:p w14:paraId="21E6BC4A" w14:textId="515B944F" w:rsidR="00D06BAF" w:rsidRDefault="00D06BAF" w:rsidP="00D06BAF">
      <w:pPr>
        <w:jc w:val="center"/>
        <w:rPr>
          <w:rFonts w:ascii="Arial" w:hAnsi="Arial" w:cs="Arial"/>
          <w:sz w:val="32"/>
          <w:szCs w:val="32"/>
        </w:rPr>
      </w:pPr>
      <w:r>
        <w:rPr>
          <w:rFonts w:ascii="Arial" w:hAnsi="Arial" w:cs="Arial"/>
          <w:sz w:val="32"/>
          <w:szCs w:val="32"/>
        </w:rPr>
        <w:t xml:space="preserve">Medellín, Antioquia </w:t>
      </w:r>
    </w:p>
    <w:p w14:paraId="1FF7ACD2" w14:textId="77777777" w:rsidR="00D06BAF" w:rsidRPr="00D06BAF" w:rsidRDefault="00D06BAF" w:rsidP="00D06BAF">
      <w:pPr>
        <w:rPr>
          <w:rFonts w:ascii="Arial" w:hAnsi="Arial" w:cs="Arial"/>
          <w:sz w:val="32"/>
          <w:szCs w:val="32"/>
        </w:rPr>
      </w:pPr>
    </w:p>
    <w:p w14:paraId="43DC017A" w14:textId="101C29B1" w:rsidR="00D06BAF" w:rsidRPr="00D06BAF" w:rsidRDefault="00D06BAF" w:rsidP="00D06BAF">
      <w:pPr>
        <w:jc w:val="center"/>
        <w:rPr>
          <w:rFonts w:ascii="Arial" w:hAnsi="Arial" w:cs="Arial"/>
          <w:sz w:val="32"/>
          <w:szCs w:val="32"/>
        </w:rPr>
      </w:pPr>
      <w:r w:rsidRPr="00D06BAF">
        <w:rPr>
          <w:rFonts w:ascii="Arial" w:hAnsi="Arial" w:cs="Arial"/>
          <w:sz w:val="32"/>
          <w:szCs w:val="32"/>
        </w:rPr>
        <w:t>07 De marzo 2026</w:t>
      </w:r>
    </w:p>
    <w:p w14:paraId="3515A139" w14:textId="77777777" w:rsidR="00D06BAF" w:rsidRPr="00D06BAF" w:rsidRDefault="00D06BAF" w:rsidP="00D06BAF">
      <w:pPr>
        <w:jc w:val="center"/>
        <w:rPr>
          <w:rFonts w:ascii="Arial" w:hAnsi="Arial" w:cs="Arial"/>
          <w:sz w:val="32"/>
          <w:szCs w:val="32"/>
        </w:rPr>
      </w:pPr>
    </w:p>
    <w:p w14:paraId="64945B99" w14:textId="77777777" w:rsidR="00D06BAF" w:rsidRDefault="00D06BAF" w:rsidP="00D06BAF">
      <w:pPr>
        <w:jc w:val="center"/>
        <w:rPr>
          <w:rFonts w:ascii="Arial" w:hAnsi="Arial" w:cs="Arial"/>
          <w:sz w:val="32"/>
          <w:szCs w:val="32"/>
        </w:rPr>
      </w:pPr>
    </w:p>
    <w:p w14:paraId="0F1171D8" w14:textId="5A8A67A8" w:rsidR="00D06BAF" w:rsidRPr="00BD74FB" w:rsidRDefault="00D06BAF" w:rsidP="00D06BAF">
      <w:pPr>
        <w:pStyle w:val="Ttulo2"/>
        <w:rPr>
          <w:rFonts w:ascii="Arial" w:hAnsi="Arial" w:cs="Arial"/>
          <w:color w:val="auto"/>
          <w:sz w:val="28"/>
          <w:szCs w:val="28"/>
        </w:rPr>
      </w:pPr>
      <w:r w:rsidRPr="00BD74FB">
        <w:rPr>
          <w:rFonts w:ascii="Arial" w:hAnsi="Arial" w:cs="Arial"/>
          <w:color w:val="auto"/>
          <w:sz w:val="28"/>
          <w:szCs w:val="28"/>
        </w:rPr>
        <w:lastRenderedPageBreak/>
        <w:t>Introducción:</w:t>
      </w:r>
    </w:p>
    <w:p w14:paraId="3BD47B75" w14:textId="0BD4A108" w:rsidR="00D06BAF" w:rsidRPr="00BD74FB" w:rsidRDefault="006F2096" w:rsidP="00BD74FB">
      <w:pPr>
        <w:ind w:left="708"/>
        <w:jc w:val="both"/>
        <w:rPr>
          <w:rFonts w:ascii="Arial" w:hAnsi="Arial" w:cs="Arial"/>
          <w:sz w:val="22"/>
          <w:szCs w:val="22"/>
        </w:rPr>
      </w:pPr>
      <w:r w:rsidRPr="00BD74FB">
        <w:rPr>
          <w:rFonts w:ascii="Arial" w:hAnsi="Arial" w:cs="Arial"/>
          <w:sz w:val="22"/>
          <w:szCs w:val="22"/>
        </w:rPr>
        <w:t xml:space="preserve">En el ámbito académico, la producción y la difusión del conocimiento dependen, en gran medida, de la adecuada gestión de la información y del correcto uso de las fuentes bibliográficas. La bibliografía no solo permite dar crédito al trabajo de otros </w:t>
      </w:r>
      <w:r w:rsidRPr="00BD74FB">
        <w:rPr>
          <w:rFonts w:ascii="Arial" w:hAnsi="Arial" w:cs="Arial"/>
          <w:sz w:val="22"/>
          <w:szCs w:val="22"/>
        </w:rPr>
        <w:t>autores,</w:t>
      </w:r>
      <w:r w:rsidRPr="00BD74FB">
        <w:rPr>
          <w:rFonts w:ascii="Arial" w:hAnsi="Arial" w:cs="Arial"/>
          <w:sz w:val="22"/>
          <w:szCs w:val="22"/>
        </w:rPr>
        <w:t xml:space="preserve"> sino que también aporta visibilidad, recuperación y transferencia del conocimiento en el seno de la comunidad científica. En este sentido, la sociedad del conocimiento y las organizaciones inteligentes demandan profesionales que sean capaces de escribir con claridad, argumentar con bases sólidas y comunicarse en distintos escenarios académicos y profesionales. Por eso, la comprensión de la importancia de la bibliografía y la producción de destrezas en la escritura académica se convierten en un elemento básico de las formaciones universitarias y en el futuro rendimiento profesional.</w:t>
      </w:r>
    </w:p>
    <w:p w14:paraId="4893993D" w14:textId="77777777" w:rsidR="006F2096" w:rsidRDefault="006F2096" w:rsidP="006F2096">
      <w:pPr>
        <w:jc w:val="both"/>
      </w:pPr>
    </w:p>
    <w:p w14:paraId="16502343" w14:textId="2DD9BC89" w:rsidR="00D06BAF" w:rsidRPr="00BD74FB" w:rsidRDefault="006F2096" w:rsidP="006F2096">
      <w:pPr>
        <w:pStyle w:val="Ttulo2"/>
        <w:rPr>
          <w:rFonts w:ascii="Arial" w:hAnsi="Arial" w:cs="Arial"/>
          <w:color w:val="auto"/>
          <w:sz w:val="28"/>
          <w:szCs w:val="28"/>
        </w:rPr>
      </w:pPr>
      <w:r w:rsidRPr="00BD74FB">
        <w:rPr>
          <w:rFonts w:ascii="Arial" w:hAnsi="Arial" w:cs="Arial"/>
          <w:color w:val="auto"/>
          <w:sz w:val="28"/>
          <w:szCs w:val="28"/>
        </w:rPr>
        <w:t xml:space="preserve">Tema 1: </w:t>
      </w:r>
      <w:r w:rsidRPr="00BD74FB">
        <w:rPr>
          <w:rFonts w:ascii="Arial" w:hAnsi="Arial" w:cs="Arial"/>
          <w:color w:val="auto"/>
          <w:sz w:val="28"/>
          <w:szCs w:val="28"/>
        </w:rPr>
        <w:t>Explicación de la bibliografía como elemento clave</w:t>
      </w:r>
    </w:p>
    <w:p w14:paraId="393E6B47" w14:textId="77777777" w:rsidR="006F2096" w:rsidRDefault="006F2096" w:rsidP="006F2096"/>
    <w:p w14:paraId="4D635B2A" w14:textId="3436A266" w:rsidR="00F54E19" w:rsidRPr="00F54E19" w:rsidRDefault="00F54E19" w:rsidP="00F54E19">
      <w:pPr>
        <w:ind w:left="708"/>
        <w:jc w:val="both"/>
        <w:rPr>
          <w:rFonts w:ascii="Arial" w:hAnsi="Arial" w:cs="Arial"/>
          <w:sz w:val="22"/>
          <w:szCs w:val="22"/>
        </w:rPr>
      </w:pPr>
      <w:r w:rsidRPr="00F54E19">
        <w:rPr>
          <w:rFonts w:ascii="Arial" w:hAnsi="Arial" w:cs="Arial"/>
          <w:sz w:val="22"/>
          <w:szCs w:val="22"/>
        </w:rPr>
        <w:t xml:space="preserve">La bibliografía desempeña un papel crucial en los trabajos académicos y científicos, ya que apoya las ideas expuestas en una investigación y reconoce las contribuciones de autores anteriores. Mediante este recurso, los investigadores pueden recurrir a conocimientos establecidos y facilitar que otros lectores accedan a esas mismas referencias. En el contexto universitario, el uso apropiado de las citas no solo constituye un requerimiento formal en los documentos escritos, sino que también es una práctica ética esencial para preservar la credibilidad de la investigación y la redacción. Asimismo, citar correctamente las fuentes sitúa un estudio dentro de un marco teórico específico y permite la verificación de la información empleada, tal como indican las pautas de la American </w:t>
      </w:r>
      <w:proofErr w:type="spellStart"/>
      <w:r w:rsidRPr="00F54E19">
        <w:rPr>
          <w:rFonts w:ascii="Arial" w:hAnsi="Arial" w:cs="Arial"/>
          <w:sz w:val="22"/>
          <w:szCs w:val="22"/>
        </w:rPr>
        <w:t>Psychological</w:t>
      </w:r>
      <w:proofErr w:type="spellEnd"/>
      <w:r w:rsidRPr="00F54E19">
        <w:rPr>
          <w:rFonts w:ascii="Arial" w:hAnsi="Arial" w:cs="Arial"/>
          <w:sz w:val="22"/>
          <w:szCs w:val="22"/>
        </w:rPr>
        <w:t xml:space="preserve"> </w:t>
      </w:r>
      <w:proofErr w:type="spellStart"/>
      <w:r w:rsidRPr="00F54E19">
        <w:rPr>
          <w:rFonts w:ascii="Arial" w:hAnsi="Arial" w:cs="Arial"/>
          <w:sz w:val="22"/>
          <w:szCs w:val="22"/>
        </w:rPr>
        <w:t>Association</w:t>
      </w:r>
      <w:proofErr w:type="spellEnd"/>
      <w:r w:rsidRPr="00F54E19">
        <w:rPr>
          <w:rFonts w:ascii="Arial" w:hAnsi="Arial" w:cs="Arial"/>
          <w:sz w:val="22"/>
          <w:szCs w:val="22"/>
        </w:rPr>
        <w:t>.</w:t>
      </w:r>
    </w:p>
    <w:p w14:paraId="77AD44F4" w14:textId="77777777" w:rsidR="00F54E19" w:rsidRPr="00F54E19" w:rsidRDefault="00F54E19" w:rsidP="00F54E19">
      <w:pPr>
        <w:ind w:left="708"/>
        <w:jc w:val="both"/>
        <w:rPr>
          <w:rFonts w:ascii="Arial" w:hAnsi="Arial" w:cs="Arial"/>
          <w:sz w:val="22"/>
          <w:szCs w:val="22"/>
        </w:rPr>
      </w:pPr>
    </w:p>
    <w:p w14:paraId="4D3B37A8" w14:textId="77777777" w:rsidR="00F54E19" w:rsidRPr="00F54E19" w:rsidRDefault="00F54E19" w:rsidP="00F54E19">
      <w:pPr>
        <w:ind w:left="708"/>
        <w:jc w:val="both"/>
        <w:rPr>
          <w:rFonts w:ascii="Arial" w:hAnsi="Arial" w:cs="Arial"/>
          <w:sz w:val="22"/>
          <w:szCs w:val="22"/>
        </w:rPr>
      </w:pPr>
      <w:r w:rsidRPr="00F54E19">
        <w:rPr>
          <w:rFonts w:ascii="Arial" w:hAnsi="Arial" w:cs="Arial"/>
          <w:sz w:val="22"/>
          <w:szCs w:val="22"/>
        </w:rPr>
        <w:t xml:space="preserve">Además, la bibliografía tiene un papel relevante en la promoción del conocimiento. Cada vez que un investigador menciona las fuentes consultadas, no solo reconoce las contribuciones de otros autores, sino que también se establece un diálogo académico que facilita la comprensión de cómo han evolucionado ciertas ideas y teorías a lo largo del tiempo. El progreso científico se basa en gran medida en este proceso, ya que muchas de las investigaciones actuales se fundamentan en estudios anteriores. Por ello, las referencias bibliográficas ayudan a identificar autores destacados, enfoques teóricos significativos y debates académicos que enriquecen la comprensión de un tema específico. En este contexto, Day y </w:t>
      </w:r>
      <w:proofErr w:type="spellStart"/>
      <w:r w:rsidRPr="00F54E19">
        <w:rPr>
          <w:rFonts w:ascii="Arial" w:hAnsi="Arial" w:cs="Arial"/>
          <w:sz w:val="22"/>
          <w:szCs w:val="22"/>
        </w:rPr>
        <w:t>Gastel</w:t>
      </w:r>
      <w:proofErr w:type="spellEnd"/>
      <w:r w:rsidRPr="00F54E19">
        <w:rPr>
          <w:rFonts w:ascii="Arial" w:hAnsi="Arial" w:cs="Arial"/>
          <w:sz w:val="22"/>
          <w:szCs w:val="22"/>
        </w:rPr>
        <w:t xml:space="preserve"> subrayan que la correcta citación de fuentes no solo otorga crédito a quienes generaron el conocimiento original, sino que también permite a los lectores rastrear el origen de la información y profundizar en el tema.</w:t>
      </w:r>
    </w:p>
    <w:p w14:paraId="73D2FAF9" w14:textId="77777777" w:rsidR="00F54E19" w:rsidRPr="00F54E19" w:rsidRDefault="00F54E19" w:rsidP="00F54E19">
      <w:pPr>
        <w:ind w:left="708"/>
        <w:jc w:val="both"/>
        <w:rPr>
          <w:rFonts w:ascii="Arial" w:hAnsi="Arial" w:cs="Arial"/>
          <w:sz w:val="22"/>
          <w:szCs w:val="22"/>
        </w:rPr>
      </w:pPr>
    </w:p>
    <w:p w14:paraId="7FF32594" w14:textId="77777777" w:rsidR="00F54E19" w:rsidRPr="00F54E19" w:rsidRDefault="00F54E19" w:rsidP="00F54E19">
      <w:pPr>
        <w:ind w:left="708"/>
        <w:jc w:val="both"/>
        <w:rPr>
          <w:rFonts w:ascii="Arial" w:hAnsi="Arial" w:cs="Arial"/>
          <w:sz w:val="22"/>
          <w:szCs w:val="22"/>
        </w:rPr>
      </w:pPr>
      <w:r w:rsidRPr="00F54E19">
        <w:rPr>
          <w:rFonts w:ascii="Arial" w:hAnsi="Arial" w:cs="Arial"/>
          <w:sz w:val="22"/>
          <w:szCs w:val="22"/>
        </w:rPr>
        <w:t>Otro punto clave sobre la bibliografía es su relación con la recuperación de información. En la actualidad, hay una gran cantidad de investigación científica dispersa en bases de datos, revistas especializadas y repositorios institucionales. En este escenario, las referencias bibliográficas actúan como un sistema organizado que facilita la localización precisa de los documentos utilizados en una investigación, ya sean libros, artículos o informes académicos. Esto permite que los lectores accedan a las fuentes originales y amplíen su evaluación sobre el tema. Además, los sistemas de citación estandarizados, como las normas APA, contribuyen a mantener un orden claro en la presentación de las fuentes citadas. Según Codina, estos sistemas de citación y referencia son herramientas esenciales para organizar la información científica y facilitar su recuperación en bases de datos académicas y bibliotecas digitales.</w:t>
      </w:r>
    </w:p>
    <w:p w14:paraId="2DF59A2D" w14:textId="77777777" w:rsidR="00F54E19" w:rsidRPr="00F54E19" w:rsidRDefault="00F54E19" w:rsidP="00F54E19">
      <w:pPr>
        <w:ind w:left="708"/>
        <w:jc w:val="both"/>
        <w:rPr>
          <w:rFonts w:ascii="Arial" w:hAnsi="Arial" w:cs="Arial"/>
          <w:sz w:val="22"/>
          <w:szCs w:val="22"/>
        </w:rPr>
      </w:pPr>
      <w:r w:rsidRPr="00F54E19">
        <w:rPr>
          <w:rFonts w:ascii="Arial" w:hAnsi="Arial" w:cs="Arial"/>
          <w:sz w:val="22"/>
          <w:szCs w:val="22"/>
        </w:rPr>
        <w:t>La bibliografía desempeña una función clave en la difusión del conocimiento. En el entorno académico, las ideas no surgen de forma aislada, sino que se desarrollan mediante la interacción entre investigadores, diversas disciplinas y variados contextos. Las referencias permiten que teorías, hallazgos de estudios y propuestas académicas circulen dentro de la comunidad científica y a menudo se conviertan en el punto de partida para nuevas indagaciones. Así, la bibliografía actúa como un enlace entre diferentes investigaciones y favorece el progreso del conocimiento en múltiples campos.</w:t>
      </w:r>
    </w:p>
    <w:p w14:paraId="42286A1E" w14:textId="77777777" w:rsidR="00F54E19" w:rsidRPr="00F54E19" w:rsidRDefault="00F54E19" w:rsidP="00F54E19">
      <w:pPr>
        <w:ind w:left="708"/>
        <w:jc w:val="both"/>
        <w:rPr>
          <w:rFonts w:ascii="Arial" w:hAnsi="Arial" w:cs="Arial"/>
          <w:sz w:val="22"/>
          <w:szCs w:val="22"/>
        </w:rPr>
      </w:pPr>
    </w:p>
    <w:p w14:paraId="237BDC76" w14:textId="77777777" w:rsidR="00F54E19" w:rsidRPr="00F54E19" w:rsidRDefault="00F54E19" w:rsidP="00F54E19">
      <w:pPr>
        <w:ind w:left="708"/>
        <w:jc w:val="both"/>
        <w:rPr>
          <w:rFonts w:ascii="Arial" w:hAnsi="Arial" w:cs="Arial"/>
          <w:sz w:val="22"/>
          <w:szCs w:val="22"/>
        </w:rPr>
      </w:pPr>
      <w:r w:rsidRPr="00F54E19">
        <w:rPr>
          <w:rFonts w:ascii="Arial" w:hAnsi="Arial" w:cs="Arial"/>
          <w:sz w:val="22"/>
          <w:szCs w:val="22"/>
        </w:rPr>
        <w:t>Por ejemplo, al llevar a cabo una investigación sobre el aprendizaje dentro de la psicología educativa, un estudiante puede basarse en investigaciones anteriores sobre teorías de aprendizaje, estudios empíricos sobre estrategias de enseñanza y textos especializados que aborden los fundamentos teóricos del tema. Estas fuentes no solo apoyan los argumentos presentados en el trabajo, sino que también ayudan al lector a entender el contexto académico en el que se lleva a cabo la investigación. De este modo, el uso adecuado de la bibliografía refuerza la calidad del trabajo académico y refleja el rigor con el que se elaboró el estudio por parte del investigador.</w:t>
      </w:r>
    </w:p>
    <w:p w14:paraId="61C5735B" w14:textId="77777777" w:rsidR="00F54E19" w:rsidRPr="00F54E19" w:rsidRDefault="00F54E19" w:rsidP="00F54E19">
      <w:pPr>
        <w:ind w:left="708"/>
        <w:jc w:val="both"/>
        <w:rPr>
          <w:rFonts w:ascii="Arial" w:hAnsi="Arial" w:cs="Arial"/>
          <w:sz w:val="22"/>
          <w:szCs w:val="22"/>
        </w:rPr>
      </w:pPr>
    </w:p>
    <w:p w14:paraId="6EE757C0" w14:textId="187BF432" w:rsidR="00F54E19" w:rsidRPr="00F54E19" w:rsidRDefault="00F54E19" w:rsidP="00F54E19">
      <w:pPr>
        <w:ind w:left="708"/>
        <w:jc w:val="both"/>
        <w:rPr>
          <w:rFonts w:ascii="Arial" w:hAnsi="Arial" w:cs="Arial"/>
          <w:sz w:val="22"/>
          <w:szCs w:val="22"/>
        </w:rPr>
      </w:pPr>
      <w:r w:rsidRPr="00F54E19">
        <w:rPr>
          <w:rFonts w:ascii="Arial" w:hAnsi="Arial" w:cs="Arial"/>
          <w:sz w:val="22"/>
          <w:szCs w:val="22"/>
        </w:rPr>
        <w:t>Además, el uso de la bibliografía también promueve el desarrollo de habilidades investigativas en los universitarios. El proceso de buscar, seleccionar y analizar fuentes confiables estimula el pensamiento crítico y permite una mejor evaluación de la calidad de la información disponible. Durante este proceso, los estudiantes aprenden a distinguir entre fuentes académicas confiables como libros, artículos de investigación o revistas indexadas y otras fuentes que no necesariamente cumplen con el mismo estándar de rigurosidad. Esta habilidad es especialmente crucial en la actualidad, ya que vivimos en una sociedad donde la información se disemina constantemente y no siempre está respaldada por un soporte académico.</w:t>
      </w:r>
    </w:p>
    <w:p w14:paraId="3C1E5DF5" w14:textId="77777777" w:rsidR="00F54E19" w:rsidRPr="00F54E19" w:rsidRDefault="00F54E19" w:rsidP="00F54E19">
      <w:pPr>
        <w:ind w:left="708"/>
        <w:jc w:val="both"/>
        <w:rPr>
          <w:rFonts w:ascii="Arial" w:hAnsi="Arial" w:cs="Arial"/>
          <w:sz w:val="22"/>
          <w:szCs w:val="22"/>
        </w:rPr>
      </w:pPr>
    </w:p>
    <w:p w14:paraId="07AF4FB1" w14:textId="6B90E522" w:rsidR="00F54E19" w:rsidRPr="00F54E19" w:rsidRDefault="00F54E19" w:rsidP="00F54E19">
      <w:pPr>
        <w:ind w:left="708"/>
        <w:jc w:val="both"/>
        <w:rPr>
          <w:rFonts w:ascii="Arial" w:hAnsi="Arial" w:cs="Arial"/>
          <w:sz w:val="22"/>
          <w:szCs w:val="22"/>
        </w:rPr>
      </w:pPr>
      <w:r w:rsidRPr="00F54E19">
        <w:rPr>
          <w:rFonts w:ascii="Arial" w:hAnsi="Arial" w:cs="Arial"/>
          <w:sz w:val="22"/>
          <w:szCs w:val="22"/>
        </w:rPr>
        <w:t>En resumen, la bibliografía es un elemento esencial dentro de la producción académica, ya que favorece la visibilidad del conocimiento, facilita el acceso a la información y permite la circulación de ideas dentro de la comunidad científica. Utilizar adecuadamente las referencias no solo eleva la calidad de los trabajos académicos, sino que también fomenta prácticas éticas en el proceso investigativo. Por esta razón, desarrollar habilidades en la búsqueda, selección y cita de fuentes bibliográficas es una competencia muy relevante durante la formación universitaria y en el ejercicio profesional futuro de cualquier disciplina.</w:t>
      </w:r>
    </w:p>
    <w:p w14:paraId="64D82F45" w14:textId="77777777" w:rsidR="00F54E19" w:rsidRDefault="00F54E19" w:rsidP="00F54E19"/>
    <w:p w14:paraId="4133DE86" w14:textId="77777777" w:rsidR="00F54E19" w:rsidRDefault="00F54E19" w:rsidP="00F54E19"/>
    <w:p w14:paraId="7A7A47EC" w14:textId="77777777" w:rsidR="00F54E19" w:rsidRDefault="00F54E19" w:rsidP="00F54E19"/>
    <w:p w14:paraId="529676B5" w14:textId="77777777" w:rsidR="00BD74FB" w:rsidRDefault="00BD74FB" w:rsidP="00F54E19"/>
    <w:p w14:paraId="606F41EA" w14:textId="77777777" w:rsidR="00BD74FB" w:rsidRDefault="00BD74FB" w:rsidP="00F54E19"/>
    <w:p w14:paraId="71FE9D9F" w14:textId="77777777" w:rsidR="00BD74FB" w:rsidRDefault="00BD74FB" w:rsidP="00F54E19"/>
    <w:p w14:paraId="0B5DD100" w14:textId="77777777" w:rsidR="00BD74FB" w:rsidRDefault="00BD74FB" w:rsidP="00F54E19"/>
    <w:p w14:paraId="709D55FB" w14:textId="77777777" w:rsidR="00BD74FB" w:rsidRDefault="00BD74FB" w:rsidP="00F54E19"/>
    <w:p w14:paraId="7C1E6444" w14:textId="77777777" w:rsidR="00BD74FB" w:rsidRDefault="00BD74FB" w:rsidP="00F54E19"/>
    <w:p w14:paraId="62333833" w14:textId="77777777" w:rsidR="00BD74FB" w:rsidRDefault="00BD74FB" w:rsidP="00F54E19"/>
    <w:p w14:paraId="2F28C1D0" w14:textId="77777777" w:rsidR="00BD74FB" w:rsidRDefault="00BD74FB" w:rsidP="00F54E19"/>
    <w:p w14:paraId="1D5D91B9" w14:textId="77777777" w:rsidR="00BD74FB" w:rsidRDefault="00BD74FB" w:rsidP="00F54E19"/>
    <w:p w14:paraId="4EE88C21" w14:textId="77777777" w:rsidR="00BD74FB" w:rsidRDefault="00BD74FB" w:rsidP="00F54E19"/>
    <w:p w14:paraId="7E2EAAB6" w14:textId="77777777" w:rsidR="00BD74FB" w:rsidRDefault="00BD74FB" w:rsidP="00F54E19"/>
    <w:p w14:paraId="50215981" w14:textId="77777777" w:rsidR="00BD74FB" w:rsidRDefault="00BD74FB" w:rsidP="00F54E19"/>
    <w:p w14:paraId="2AF9B5BC" w14:textId="77777777" w:rsidR="00BD74FB" w:rsidRDefault="00BD74FB" w:rsidP="00F54E19"/>
    <w:p w14:paraId="31799350" w14:textId="77777777" w:rsidR="00BD74FB" w:rsidRDefault="00BD74FB" w:rsidP="00F54E19"/>
    <w:p w14:paraId="692881C5" w14:textId="77777777" w:rsidR="00BD74FB" w:rsidRDefault="00BD74FB" w:rsidP="00F54E19"/>
    <w:p w14:paraId="1125E626" w14:textId="6490AC49" w:rsidR="00F54E19" w:rsidRDefault="00BD74FB" w:rsidP="00F54E19">
      <w:pPr>
        <w:pStyle w:val="Ttulo2"/>
        <w:rPr>
          <w:rFonts w:ascii="Arial" w:hAnsi="Arial" w:cs="Arial"/>
          <w:color w:val="auto"/>
          <w:sz w:val="28"/>
          <w:szCs w:val="28"/>
        </w:rPr>
      </w:pPr>
      <w:r w:rsidRPr="00BD74FB">
        <w:rPr>
          <w:rFonts w:ascii="Arial" w:hAnsi="Arial" w:cs="Arial"/>
          <w:color w:val="auto"/>
          <w:sz w:val="28"/>
          <w:szCs w:val="28"/>
        </w:rPr>
        <w:lastRenderedPageBreak/>
        <w:t xml:space="preserve">Tema 2: </w:t>
      </w:r>
      <w:r w:rsidRPr="00BD74FB">
        <w:rPr>
          <w:rFonts w:ascii="Arial" w:hAnsi="Arial" w:cs="Arial"/>
          <w:color w:val="auto"/>
          <w:sz w:val="28"/>
          <w:szCs w:val="28"/>
        </w:rPr>
        <w:t>Análisis de cómo la sociedad del conocimiento y las organizaciones inteligentes exigen a los individuos</w:t>
      </w:r>
    </w:p>
    <w:p w14:paraId="6872BBF4" w14:textId="77777777" w:rsidR="00BD74FB" w:rsidRDefault="00BD74FB" w:rsidP="00BD74FB"/>
    <w:p w14:paraId="364BFD31" w14:textId="1C223810" w:rsidR="00BD74FB" w:rsidRPr="00BD74FB" w:rsidRDefault="00BD74FB" w:rsidP="00BD74FB">
      <w:pPr>
        <w:ind w:left="708"/>
        <w:jc w:val="both"/>
        <w:rPr>
          <w:rFonts w:ascii="Arial" w:hAnsi="Arial" w:cs="Arial"/>
          <w:sz w:val="22"/>
          <w:szCs w:val="22"/>
        </w:rPr>
      </w:pPr>
      <w:r w:rsidRPr="00BD74FB">
        <w:rPr>
          <w:rFonts w:ascii="Arial" w:hAnsi="Arial" w:cs="Arial"/>
          <w:sz w:val="22"/>
          <w:szCs w:val="22"/>
        </w:rPr>
        <w:t>En la actualidad, la sociedad moderna se distingue por la importancia del conocimiento en el avance social, científico y económico. Este fenómeno, denominado sociedad del conocimiento, indica que la información, la innovación y la habilidad para generar saberes son recursos esenciales para el desarrollo de las organizaciones y las personas. En este marco, las instituciones educativas y las entidades inteligentes requieren profesionales que puedan generar, analizar y difundir conocimiento de forma clara, precisa y fundamentada. Según Drucker (1993), en la sociedad del conocimiento, el recurso principal ya no es solo el capital o el trabajo físico, sino el saber especializado que poseen las personas y su capacidad para aplicarlo de forma efectiva.</w:t>
      </w:r>
    </w:p>
    <w:p w14:paraId="1C3D0031" w14:textId="77777777" w:rsidR="00BD74FB" w:rsidRPr="00BD74FB" w:rsidRDefault="00BD74FB" w:rsidP="00BD74FB">
      <w:pPr>
        <w:ind w:left="708"/>
        <w:jc w:val="both"/>
        <w:rPr>
          <w:rFonts w:ascii="Arial" w:hAnsi="Arial" w:cs="Arial"/>
          <w:sz w:val="22"/>
          <w:szCs w:val="22"/>
        </w:rPr>
      </w:pPr>
    </w:p>
    <w:p w14:paraId="6B3D24E6" w14:textId="77777777" w:rsidR="00BD74FB" w:rsidRPr="00BD74FB" w:rsidRDefault="00BD74FB" w:rsidP="00BD74FB">
      <w:pPr>
        <w:ind w:left="708"/>
        <w:jc w:val="both"/>
        <w:rPr>
          <w:rFonts w:ascii="Arial" w:hAnsi="Arial" w:cs="Arial"/>
          <w:sz w:val="22"/>
          <w:szCs w:val="22"/>
        </w:rPr>
      </w:pPr>
      <w:r w:rsidRPr="00BD74FB">
        <w:rPr>
          <w:rFonts w:ascii="Arial" w:hAnsi="Arial" w:cs="Arial"/>
          <w:sz w:val="22"/>
          <w:szCs w:val="22"/>
        </w:rPr>
        <w:t>En este panorama, una de las habilidades más relevantes para las personas es la aptitud para escribir de forma clara. La escritura académica es una herramienta clave para crear y compartir conocimiento, ya que permite organizar ideas, presentar razonamientos y comunicar los resultados de investigaciones de manera comprensible. En el entorno universitario, escribir con claridad significa estructurar los textos de manera adecuada, utilizar un vocabulario preciso y mantener coherencia en la exposición de las ideas. La claridad en la escritura no solo ayuda a la comprensión del lector, sino que también muestra el dominio del autor sobre el tema tratado. Según Cassany (2006), la escritura académica demanda habilidades específicas que facilitan la transformación del pensamiento en un discurso ordenado, coherente y pertinente al contexto comunicativo.</w:t>
      </w:r>
    </w:p>
    <w:p w14:paraId="23BD883D" w14:textId="77777777" w:rsidR="00BD74FB" w:rsidRPr="00BD74FB" w:rsidRDefault="00BD74FB" w:rsidP="00BD74FB">
      <w:pPr>
        <w:ind w:left="708"/>
        <w:jc w:val="both"/>
        <w:rPr>
          <w:rFonts w:ascii="Arial" w:hAnsi="Arial" w:cs="Arial"/>
          <w:sz w:val="22"/>
          <w:szCs w:val="22"/>
        </w:rPr>
      </w:pPr>
    </w:p>
    <w:p w14:paraId="3920493A" w14:textId="77777777" w:rsidR="00BD74FB" w:rsidRPr="00BD74FB" w:rsidRDefault="00BD74FB" w:rsidP="00BD74FB">
      <w:pPr>
        <w:ind w:left="708"/>
        <w:jc w:val="both"/>
        <w:rPr>
          <w:rFonts w:ascii="Arial" w:hAnsi="Arial" w:cs="Arial"/>
          <w:sz w:val="22"/>
          <w:szCs w:val="22"/>
        </w:rPr>
      </w:pPr>
      <w:r w:rsidRPr="00BD74FB">
        <w:rPr>
          <w:rFonts w:ascii="Arial" w:hAnsi="Arial" w:cs="Arial"/>
          <w:sz w:val="22"/>
          <w:szCs w:val="22"/>
        </w:rPr>
        <w:t>Además de la claridad en la redacción, la sociedad del conocimiento requiere la habilidad de argumentar de manera fundamentada. La argumentación académica se basa en presentar ideas respaldadas por evidencias, investigaciones previas y marcos teóricos reconocidos. En los ámbitos universitario y profesional, no es suficiente con expresar opiniones personales; es crucial sustentar las afirmaciones con fuentes confiables que aporten solidez al discurso. La argumentación fundamentada permite desarrollar un pensamiento crítico y reflexivo, así como participar activamente en debates académicos y profesionales. En esta línea, el uso de fuentes bibliográficas confiables, la correcta interpretación de la información y la capacidad de relacionar diferentes enfoques teóricos son elementos esenciales para construir argumentos sólidos y coherentes.</w:t>
      </w:r>
    </w:p>
    <w:p w14:paraId="26A61156" w14:textId="77777777" w:rsidR="00BD74FB" w:rsidRPr="00BD74FB" w:rsidRDefault="00BD74FB" w:rsidP="00BD74FB">
      <w:pPr>
        <w:ind w:left="708"/>
        <w:jc w:val="both"/>
        <w:rPr>
          <w:rFonts w:ascii="Arial" w:hAnsi="Arial" w:cs="Arial"/>
          <w:sz w:val="22"/>
          <w:szCs w:val="22"/>
        </w:rPr>
      </w:pPr>
    </w:p>
    <w:p w14:paraId="4BF3CCDC" w14:textId="77777777" w:rsidR="00BD74FB" w:rsidRPr="00BD74FB" w:rsidRDefault="00BD74FB" w:rsidP="00BD74FB">
      <w:pPr>
        <w:ind w:left="708"/>
        <w:jc w:val="both"/>
        <w:rPr>
          <w:rFonts w:ascii="Arial" w:hAnsi="Arial" w:cs="Arial"/>
          <w:sz w:val="22"/>
          <w:szCs w:val="22"/>
        </w:rPr>
      </w:pPr>
      <w:r w:rsidRPr="00BD74FB">
        <w:rPr>
          <w:rFonts w:ascii="Arial" w:hAnsi="Arial" w:cs="Arial"/>
          <w:sz w:val="22"/>
          <w:szCs w:val="22"/>
        </w:rPr>
        <w:lastRenderedPageBreak/>
        <w:t>Otro aspecto clave en el contexto de la sociedad del conocimiento es la comunicación efectiva en entornos académicos y profesionales. Las organizaciones contemporáneas valoran cada vez más la habilidad de los individuos para expresar ideas de forma clara, precisa y adecuada a diversas audiencias. La comunicación efectiva no solo abarca el dominio de la escritura, sino también la capacidad de presentar información de manera estructurada, participar en discusiones académicas, elaborar informes y compartir los resultados de investigaciones. Según Nonaka y Takeuchi (1995), las organizaciones inteligentes se caracterizan por su habilidad para crear, compartir y aplicar conocimiento de forma colectiva, lo que requiere de procesos de comunicación eficaces entre los miembros de la organización.</w:t>
      </w:r>
    </w:p>
    <w:p w14:paraId="6306EBBC" w14:textId="77777777" w:rsidR="00BD74FB" w:rsidRPr="00BD74FB" w:rsidRDefault="00BD74FB" w:rsidP="00BD74FB">
      <w:pPr>
        <w:ind w:left="708"/>
        <w:jc w:val="both"/>
        <w:rPr>
          <w:rFonts w:ascii="Arial" w:hAnsi="Arial" w:cs="Arial"/>
          <w:sz w:val="22"/>
          <w:szCs w:val="22"/>
        </w:rPr>
      </w:pPr>
      <w:r w:rsidRPr="00BD74FB">
        <w:rPr>
          <w:rFonts w:ascii="Arial" w:hAnsi="Arial" w:cs="Arial"/>
          <w:sz w:val="22"/>
          <w:szCs w:val="22"/>
        </w:rPr>
        <w:t>En el entorno académico, estas habilidades son esenciales para llevar a cabo investigaciones y generar conocimiento científico. Los estudiantes en las universidades necesitan aprender a redactar textos académicos, fundamentar sus argumentos con pruebas y expresar sus ideas de forma clara para contribuir activamente al avance del saber. Estas competencias son importantes no solo durante su etapa universitaria, sino que también se transforman en herramientas clave para su futuro desempeño profesional en diversas disciplinas.</w:t>
      </w:r>
    </w:p>
    <w:p w14:paraId="1B8E8702" w14:textId="77777777" w:rsidR="00BD74FB" w:rsidRPr="00BD74FB" w:rsidRDefault="00BD74FB" w:rsidP="00BD74FB">
      <w:pPr>
        <w:ind w:left="708"/>
        <w:jc w:val="both"/>
        <w:rPr>
          <w:rFonts w:ascii="Arial" w:hAnsi="Arial" w:cs="Arial"/>
          <w:sz w:val="22"/>
          <w:szCs w:val="22"/>
        </w:rPr>
      </w:pPr>
    </w:p>
    <w:p w14:paraId="45DE06EE" w14:textId="77777777" w:rsidR="00BD74FB" w:rsidRPr="00BD74FB" w:rsidRDefault="00BD74FB" w:rsidP="00BD74FB">
      <w:pPr>
        <w:ind w:left="708"/>
        <w:jc w:val="both"/>
        <w:rPr>
          <w:rFonts w:ascii="Arial" w:hAnsi="Arial" w:cs="Arial"/>
          <w:sz w:val="22"/>
          <w:szCs w:val="22"/>
        </w:rPr>
      </w:pPr>
      <w:r w:rsidRPr="00BD74FB">
        <w:rPr>
          <w:rFonts w:ascii="Arial" w:hAnsi="Arial" w:cs="Arial"/>
          <w:sz w:val="22"/>
          <w:szCs w:val="22"/>
        </w:rPr>
        <w:t>Del mismo modo, en el ámbito laboral, las empresas buscan profesionales que sean capaces de analizar datos, ofrecer soluciones bien fundamentadas y comunicar sus ideas efectivamente en equipos multidisciplinarios. La habilidad para argumentar, redactar de manera efectiva y presentar resultados se ha vuelto crucial para la toma de decisiones y la innovación en las organizaciones. Por esta razón, el fortalecimiento de las competencias comunicativas y de argumentación es parte integral de la capacitación en la educación superior y se considera un componente vital para alcanzar el éxito profesional.</w:t>
      </w:r>
    </w:p>
    <w:p w14:paraId="71BCC2EE" w14:textId="77777777" w:rsidR="00BD74FB" w:rsidRPr="00BD74FB" w:rsidRDefault="00BD74FB" w:rsidP="00BD74FB">
      <w:pPr>
        <w:ind w:left="708"/>
        <w:jc w:val="both"/>
        <w:rPr>
          <w:rFonts w:ascii="Arial" w:hAnsi="Arial" w:cs="Arial"/>
          <w:sz w:val="22"/>
          <w:szCs w:val="22"/>
        </w:rPr>
      </w:pPr>
    </w:p>
    <w:p w14:paraId="110046AC" w14:textId="718F28EE" w:rsidR="00BD74FB" w:rsidRDefault="00BD74FB" w:rsidP="00BD74FB">
      <w:pPr>
        <w:ind w:left="708"/>
        <w:jc w:val="both"/>
        <w:rPr>
          <w:rFonts w:ascii="Arial" w:hAnsi="Arial" w:cs="Arial"/>
          <w:sz w:val="22"/>
          <w:szCs w:val="22"/>
        </w:rPr>
      </w:pPr>
      <w:r w:rsidRPr="00BD74FB">
        <w:rPr>
          <w:rFonts w:ascii="Arial" w:hAnsi="Arial" w:cs="Arial"/>
          <w:sz w:val="22"/>
          <w:szCs w:val="22"/>
        </w:rPr>
        <w:t>En resumen, la era del conocimiento y las organizaciones inteligentes requieren de las personas competencias comunicativas cada vez más sofisticadas. Entre estas habilidades se destacan la capacidad de escribir de manera clara, argumentar sobre bases teóricas y comunicarse eficientemente en entornos académicos y profesionales. Estas competencias facilitan no solo la difusión del conocimiento, sino también la creación colaborativa de nuevas ideas y soluciones ante los retos actuales. Por lo tanto, mejorar las habilidades de escritura, argumentación y comunicación es un aspecto crucial en la educación universitaria y en el desarrollo profesional de las personas.</w:t>
      </w:r>
    </w:p>
    <w:p w14:paraId="124199BD" w14:textId="77777777" w:rsidR="00433F59" w:rsidRDefault="00433F59" w:rsidP="00BD74FB">
      <w:pPr>
        <w:ind w:left="708"/>
        <w:jc w:val="both"/>
        <w:rPr>
          <w:rFonts w:ascii="Arial" w:hAnsi="Arial" w:cs="Arial"/>
          <w:sz w:val="22"/>
          <w:szCs w:val="22"/>
        </w:rPr>
      </w:pPr>
    </w:p>
    <w:p w14:paraId="78FA6EE7" w14:textId="77777777" w:rsidR="00433F59" w:rsidRDefault="00433F59" w:rsidP="00BD74FB">
      <w:pPr>
        <w:ind w:left="708"/>
        <w:jc w:val="both"/>
        <w:rPr>
          <w:rFonts w:ascii="Arial" w:hAnsi="Arial" w:cs="Arial"/>
          <w:sz w:val="22"/>
          <w:szCs w:val="22"/>
        </w:rPr>
      </w:pPr>
    </w:p>
    <w:p w14:paraId="6131493B" w14:textId="690490D7" w:rsidR="00433F59" w:rsidRDefault="00433F59" w:rsidP="00433F59">
      <w:pPr>
        <w:pStyle w:val="Ttulo2"/>
        <w:rPr>
          <w:rFonts w:ascii="Arial" w:hAnsi="Arial" w:cs="Arial"/>
          <w:color w:val="auto"/>
          <w:sz w:val="28"/>
          <w:szCs w:val="28"/>
        </w:rPr>
      </w:pPr>
      <w:r w:rsidRPr="00433F59">
        <w:rPr>
          <w:rFonts w:ascii="Arial" w:hAnsi="Arial" w:cs="Arial"/>
          <w:color w:val="auto"/>
          <w:sz w:val="28"/>
          <w:szCs w:val="28"/>
        </w:rPr>
        <w:lastRenderedPageBreak/>
        <w:t>Conclusión</w:t>
      </w:r>
      <w:r w:rsidR="00BD74FB" w:rsidRPr="00433F59">
        <w:rPr>
          <w:rFonts w:ascii="Arial" w:hAnsi="Arial" w:cs="Arial"/>
          <w:color w:val="auto"/>
          <w:sz w:val="28"/>
          <w:szCs w:val="28"/>
        </w:rPr>
        <w:t>:</w:t>
      </w:r>
    </w:p>
    <w:p w14:paraId="73E90E4D" w14:textId="77777777" w:rsidR="00433F59" w:rsidRPr="00433F59" w:rsidRDefault="00433F59" w:rsidP="00433F59"/>
    <w:p w14:paraId="5892F686" w14:textId="4D6FB24A" w:rsidR="00433F59" w:rsidRDefault="00433F59" w:rsidP="00433F59">
      <w:pPr>
        <w:ind w:left="708"/>
        <w:jc w:val="both"/>
        <w:rPr>
          <w:rFonts w:ascii="Arial" w:hAnsi="Arial" w:cs="Arial"/>
          <w:sz w:val="22"/>
          <w:szCs w:val="22"/>
        </w:rPr>
      </w:pPr>
      <w:r w:rsidRPr="00433F59">
        <w:rPr>
          <w:rFonts w:ascii="Arial" w:hAnsi="Arial" w:cs="Arial"/>
          <w:sz w:val="22"/>
          <w:szCs w:val="22"/>
        </w:rPr>
        <w:t>En conclusión, la bibliografía y las habilidades de comunicación académica son elementos esenciales en la producción y transmisión del conocimiento dentro de la sociedad actual. El uso adecuado de fuentes bibliográficas permite reconocer los aportes de otros autores, garantizar la credibilidad de la información y facilitar la construcción colectiva del saber. Al mismo tiempo, la sociedad del conocimiento exige profesionales capaces de escribir con claridad, argumentar con fundamento y comunicarse de manera eficiente en contextos académicos y profesionales. Por ello, desarrollar competencias en escritura académica, citación y manejo responsable de la información se convierte en una base fundamental para la formación universitaria y el futuro ejercicio profesional.</w:t>
      </w:r>
    </w:p>
    <w:p w14:paraId="154CE8D7" w14:textId="77777777" w:rsidR="00433F59" w:rsidRDefault="00433F59" w:rsidP="00433F59">
      <w:pPr>
        <w:jc w:val="both"/>
        <w:rPr>
          <w:rFonts w:ascii="Arial" w:hAnsi="Arial" w:cs="Arial"/>
          <w:sz w:val="22"/>
          <w:szCs w:val="22"/>
        </w:rPr>
      </w:pPr>
    </w:p>
    <w:p w14:paraId="40C6ACDC" w14:textId="104B8CD0" w:rsidR="00433F59" w:rsidRDefault="00433F59" w:rsidP="00433F59">
      <w:pPr>
        <w:pStyle w:val="Ttulo2"/>
        <w:rPr>
          <w:rFonts w:ascii="Arial" w:hAnsi="Arial" w:cs="Arial"/>
          <w:color w:val="auto"/>
          <w:sz w:val="28"/>
          <w:szCs w:val="28"/>
        </w:rPr>
      </w:pPr>
      <w:r w:rsidRPr="009243AC">
        <w:rPr>
          <w:rFonts w:ascii="Arial" w:hAnsi="Arial" w:cs="Arial"/>
          <w:color w:val="auto"/>
          <w:sz w:val="28"/>
          <w:szCs w:val="28"/>
        </w:rPr>
        <w:t>Referencias:</w:t>
      </w:r>
    </w:p>
    <w:p w14:paraId="41943F66" w14:textId="14615C96" w:rsidR="009243AC" w:rsidRDefault="009243AC" w:rsidP="009243AC"/>
    <w:p w14:paraId="2B2A2D0A" w14:textId="77777777" w:rsidR="009243AC" w:rsidRPr="009243AC" w:rsidRDefault="009243AC" w:rsidP="009243AC">
      <w:pPr>
        <w:ind w:left="708"/>
        <w:rPr>
          <w:rFonts w:ascii="Arial" w:hAnsi="Arial" w:cs="Arial"/>
          <w:sz w:val="22"/>
          <w:szCs w:val="22"/>
        </w:rPr>
      </w:pPr>
      <w:r w:rsidRPr="009243AC">
        <w:rPr>
          <w:rFonts w:ascii="Arial" w:hAnsi="Arial" w:cs="Arial"/>
          <w:sz w:val="22"/>
          <w:szCs w:val="22"/>
        </w:rPr>
        <w:t xml:space="preserve">American </w:t>
      </w:r>
      <w:proofErr w:type="spellStart"/>
      <w:r w:rsidRPr="009243AC">
        <w:rPr>
          <w:rFonts w:ascii="Arial" w:hAnsi="Arial" w:cs="Arial"/>
          <w:sz w:val="22"/>
          <w:szCs w:val="22"/>
        </w:rPr>
        <w:t>Psychological</w:t>
      </w:r>
      <w:proofErr w:type="spellEnd"/>
      <w:r w:rsidRPr="009243AC">
        <w:rPr>
          <w:rFonts w:ascii="Arial" w:hAnsi="Arial" w:cs="Arial"/>
          <w:sz w:val="22"/>
          <w:szCs w:val="22"/>
        </w:rPr>
        <w:t xml:space="preserve"> </w:t>
      </w:r>
      <w:proofErr w:type="spellStart"/>
      <w:r w:rsidRPr="009243AC">
        <w:rPr>
          <w:rFonts w:ascii="Arial" w:hAnsi="Arial" w:cs="Arial"/>
          <w:sz w:val="22"/>
          <w:szCs w:val="22"/>
        </w:rPr>
        <w:t>Association</w:t>
      </w:r>
      <w:proofErr w:type="spellEnd"/>
      <w:r w:rsidRPr="009243AC">
        <w:rPr>
          <w:rFonts w:ascii="Arial" w:hAnsi="Arial" w:cs="Arial"/>
          <w:sz w:val="22"/>
          <w:szCs w:val="22"/>
        </w:rPr>
        <w:t xml:space="preserve">. (2020). </w:t>
      </w:r>
      <w:proofErr w:type="spellStart"/>
      <w:r w:rsidRPr="009243AC">
        <w:rPr>
          <w:rFonts w:ascii="Arial" w:hAnsi="Arial" w:cs="Arial"/>
          <w:i/>
          <w:iCs/>
          <w:sz w:val="22"/>
          <w:szCs w:val="22"/>
        </w:rPr>
        <w:t>Publication</w:t>
      </w:r>
      <w:proofErr w:type="spellEnd"/>
      <w:r w:rsidRPr="009243AC">
        <w:rPr>
          <w:rFonts w:ascii="Arial" w:hAnsi="Arial" w:cs="Arial"/>
          <w:i/>
          <w:iCs/>
          <w:sz w:val="22"/>
          <w:szCs w:val="22"/>
        </w:rPr>
        <w:t xml:space="preserve"> manual </w:t>
      </w:r>
      <w:proofErr w:type="spellStart"/>
      <w:r w:rsidRPr="009243AC">
        <w:rPr>
          <w:rFonts w:ascii="Arial" w:hAnsi="Arial" w:cs="Arial"/>
          <w:i/>
          <w:iCs/>
          <w:sz w:val="22"/>
          <w:szCs w:val="22"/>
        </w:rPr>
        <w:t>of</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the</w:t>
      </w:r>
      <w:proofErr w:type="spellEnd"/>
      <w:r w:rsidRPr="009243AC">
        <w:rPr>
          <w:rFonts w:ascii="Arial" w:hAnsi="Arial" w:cs="Arial"/>
          <w:i/>
          <w:iCs/>
          <w:sz w:val="22"/>
          <w:szCs w:val="22"/>
        </w:rPr>
        <w:t xml:space="preserve"> American </w:t>
      </w:r>
      <w:proofErr w:type="spellStart"/>
      <w:r w:rsidRPr="009243AC">
        <w:rPr>
          <w:rFonts w:ascii="Arial" w:hAnsi="Arial" w:cs="Arial"/>
          <w:i/>
          <w:iCs/>
          <w:sz w:val="22"/>
          <w:szCs w:val="22"/>
        </w:rPr>
        <w:t>Psychological</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Association</w:t>
      </w:r>
      <w:proofErr w:type="spellEnd"/>
      <w:r w:rsidRPr="009243AC">
        <w:rPr>
          <w:rFonts w:ascii="Arial" w:hAnsi="Arial" w:cs="Arial"/>
          <w:sz w:val="22"/>
          <w:szCs w:val="22"/>
        </w:rPr>
        <w:t xml:space="preserve"> (7th ed.). American </w:t>
      </w:r>
      <w:proofErr w:type="spellStart"/>
      <w:r w:rsidRPr="009243AC">
        <w:rPr>
          <w:rFonts w:ascii="Arial" w:hAnsi="Arial" w:cs="Arial"/>
          <w:sz w:val="22"/>
          <w:szCs w:val="22"/>
        </w:rPr>
        <w:t>Psychological</w:t>
      </w:r>
      <w:proofErr w:type="spellEnd"/>
      <w:r w:rsidRPr="009243AC">
        <w:rPr>
          <w:rFonts w:ascii="Arial" w:hAnsi="Arial" w:cs="Arial"/>
          <w:sz w:val="22"/>
          <w:szCs w:val="22"/>
        </w:rPr>
        <w:t xml:space="preserve"> </w:t>
      </w:r>
      <w:proofErr w:type="spellStart"/>
      <w:r w:rsidRPr="009243AC">
        <w:rPr>
          <w:rFonts w:ascii="Arial" w:hAnsi="Arial" w:cs="Arial"/>
          <w:sz w:val="22"/>
          <w:szCs w:val="22"/>
        </w:rPr>
        <w:t>Association</w:t>
      </w:r>
      <w:proofErr w:type="spellEnd"/>
      <w:r w:rsidRPr="009243AC">
        <w:rPr>
          <w:rFonts w:ascii="Arial" w:hAnsi="Arial" w:cs="Arial"/>
          <w:sz w:val="22"/>
          <w:szCs w:val="22"/>
        </w:rPr>
        <w:t>.</w:t>
      </w:r>
    </w:p>
    <w:p w14:paraId="0C0EB1E0" w14:textId="77777777" w:rsidR="009243AC" w:rsidRPr="009243AC" w:rsidRDefault="009243AC" w:rsidP="009243AC">
      <w:pPr>
        <w:ind w:left="708"/>
        <w:rPr>
          <w:rFonts w:ascii="Arial" w:hAnsi="Arial" w:cs="Arial"/>
          <w:sz w:val="22"/>
          <w:szCs w:val="22"/>
        </w:rPr>
      </w:pPr>
      <w:r w:rsidRPr="009243AC">
        <w:rPr>
          <w:rFonts w:ascii="Arial" w:hAnsi="Arial" w:cs="Arial"/>
          <w:sz w:val="22"/>
          <w:szCs w:val="22"/>
        </w:rPr>
        <w:t xml:space="preserve">Cassany, D. (2006). </w:t>
      </w:r>
      <w:r w:rsidRPr="009243AC">
        <w:rPr>
          <w:rFonts w:ascii="Arial" w:hAnsi="Arial" w:cs="Arial"/>
          <w:i/>
          <w:iCs/>
          <w:sz w:val="22"/>
          <w:szCs w:val="22"/>
        </w:rPr>
        <w:t>Tras las líneas: Sobre la lectura contemporánea</w:t>
      </w:r>
      <w:r w:rsidRPr="009243AC">
        <w:rPr>
          <w:rFonts w:ascii="Arial" w:hAnsi="Arial" w:cs="Arial"/>
          <w:sz w:val="22"/>
          <w:szCs w:val="22"/>
        </w:rPr>
        <w:t>. Anagrama.</w:t>
      </w:r>
    </w:p>
    <w:p w14:paraId="2ACA9EAA" w14:textId="77777777" w:rsidR="009243AC" w:rsidRPr="009243AC" w:rsidRDefault="009243AC" w:rsidP="009243AC">
      <w:pPr>
        <w:ind w:left="708"/>
        <w:rPr>
          <w:rFonts w:ascii="Arial" w:hAnsi="Arial" w:cs="Arial"/>
          <w:sz w:val="22"/>
          <w:szCs w:val="22"/>
        </w:rPr>
      </w:pPr>
      <w:r w:rsidRPr="009243AC">
        <w:rPr>
          <w:rFonts w:ascii="Arial" w:hAnsi="Arial" w:cs="Arial"/>
          <w:sz w:val="22"/>
          <w:szCs w:val="22"/>
        </w:rPr>
        <w:t xml:space="preserve">Codina, L. (2018). Revisiones bibliográficas sistematizadas: Procedimientos generales y </w:t>
      </w:r>
      <w:proofErr w:type="spellStart"/>
      <w:r w:rsidRPr="009243AC">
        <w:rPr>
          <w:rFonts w:ascii="Arial" w:hAnsi="Arial" w:cs="Arial"/>
          <w:sz w:val="22"/>
          <w:szCs w:val="22"/>
        </w:rPr>
        <w:t>framework</w:t>
      </w:r>
      <w:proofErr w:type="spellEnd"/>
      <w:r w:rsidRPr="009243AC">
        <w:rPr>
          <w:rFonts w:ascii="Arial" w:hAnsi="Arial" w:cs="Arial"/>
          <w:sz w:val="22"/>
          <w:szCs w:val="22"/>
        </w:rPr>
        <w:t xml:space="preserve"> para ciencias humanas y sociales. </w:t>
      </w:r>
      <w:r w:rsidRPr="009243AC">
        <w:rPr>
          <w:rFonts w:ascii="Arial" w:hAnsi="Arial" w:cs="Arial"/>
          <w:i/>
          <w:iCs/>
          <w:sz w:val="22"/>
          <w:szCs w:val="22"/>
        </w:rPr>
        <w:t>Revista de Comunicación, 17</w:t>
      </w:r>
      <w:r w:rsidRPr="009243AC">
        <w:rPr>
          <w:rFonts w:ascii="Arial" w:hAnsi="Arial" w:cs="Arial"/>
          <w:sz w:val="22"/>
          <w:szCs w:val="22"/>
        </w:rPr>
        <w:t>(2), 50–69.</w:t>
      </w:r>
    </w:p>
    <w:p w14:paraId="3A35B3C1" w14:textId="77777777" w:rsidR="009243AC" w:rsidRPr="009243AC" w:rsidRDefault="009243AC" w:rsidP="009243AC">
      <w:pPr>
        <w:ind w:left="708"/>
        <w:rPr>
          <w:rFonts w:ascii="Arial" w:hAnsi="Arial" w:cs="Arial"/>
          <w:sz w:val="22"/>
          <w:szCs w:val="22"/>
        </w:rPr>
      </w:pPr>
      <w:r w:rsidRPr="009243AC">
        <w:rPr>
          <w:rFonts w:ascii="Arial" w:hAnsi="Arial" w:cs="Arial"/>
          <w:sz w:val="22"/>
          <w:szCs w:val="22"/>
        </w:rPr>
        <w:t xml:space="preserve">Day, R. A., &amp; </w:t>
      </w:r>
      <w:proofErr w:type="spellStart"/>
      <w:r w:rsidRPr="009243AC">
        <w:rPr>
          <w:rFonts w:ascii="Arial" w:hAnsi="Arial" w:cs="Arial"/>
          <w:sz w:val="22"/>
          <w:szCs w:val="22"/>
        </w:rPr>
        <w:t>Gastel</w:t>
      </w:r>
      <w:proofErr w:type="spellEnd"/>
      <w:r w:rsidRPr="009243AC">
        <w:rPr>
          <w:rFonts w:ascii="Arial" w:hAnsi="Arial" w:cs="Arial"/>
          <w:sz w:val="22"/>
          <w:szCs w:val="22"/>
        </w:rPr>
        <w:t xml:space="preserve">, B. (2012). </w:t>
      </w:r>
      <w:proofErr w:type="spellStart"/>
      <w:r w:rsidRPr="009243AC">
        <w:rPr>
          <w:rFonts w:ascii="Arial" w:hAnsi="Arial" w:cs="Arial"/>
          <w:i/>
          <w:iCs/>
          <w:sz w:val="22"/>
          <w:szCs w:val="22"/>
        </w:rPr>
        <w:t>How</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to</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write</w:t>
      </w:r>
      <w:proofErr w:type="spellEnd"/>
      <w:r w:rsidRPr="009243AC">
        <w:rPr>
          <w:rFonts w:ascii="Arial" w:hAnsi="Arial" w:cs="Arial"/>
          <w:i/>
          <w:iCs/>
          <w:sz w:val="22"/>
          <w:szCs w:val="22"/>
        </w:rPr>
        <w:t xml:space="preserve"> and </w:t>
      </w:r>
      <w:proofErr w:type="spellStart"/>
      <w:r w:rsidRPr="009243AC">
        <w:rPr>
          <w:rFonts w:ascii="Arial" w:hAnsi="Arial" w:cs="Arial"/>
          <w:i/>
          <w:iCs/>
          <w:sz w:val="22"/>
          <w:szCs w:val="22"/>
        </w:rPr>
        <w:t>publish</w:t>
      </w:r>
      <w:proofErr w:type="spellEnd"/>
      <w:r w:rsidRPr="009243AC">
        <w:rPr>
          <w:rFonts w:ascii="Arial" w:hAnsi="Arial" w:cs="Arial"/>
          <w:i/>
          <w:iCs/>
          <w:sz w:val="22"/>
          <w:szCs w:val="22"/>
        </w:rPr>
        <w:t xml:space="preserve"> a </w:t>
      </w:r>
      <w:proofErr w:type="spellStart"/>
      <w:r w:rsidRPr="009243AC">
        <w:rPr>
          <w:rFonts w:ascii="Arial" w:hAnsi="Arial" w:cs="Arial"/>
          <w:i/>
          <w:iCs/>
          <w:sz w:val="22"/>
          <w:szCs w:val="22"/>
        </w:rPr>
        <w:t>scientific</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paper</w:t>
      </w:r>
      <w:proofErr w:type="spellEnd"/>
      <w:r w:rsidRPr="009243AC">
        <w:rPr>
          <w:rFonts w:ascii="Arial" w:hAnsi="Arial" w:cs="Arial"/>
          <w:sz w:val="22"/>
          <w:szCs w:val="22"/>
        </w:rPr>
        <w:t xml:space="preserve"> (7th ed.). Cambridge </w:t>
      </w:r>
      <w:proofErr w:type="spellStart"/>
      <w:r w:rsidRPr="009243AC">
        <w:rPr>
          <w:rFonts w:ascii="Arial" w:hAnsi="Arial" w:cs="Arial"/>
          <w:sz w:val="22"/>
          <w:szCs w:val="22"/>
        </w:rPr>
        <w:t>University</w:t>
      </w:r>
      <w:proofErr w:type="spellEnd"/>
      <w:r w:rsidRPr="009243AC">
        <w:rPr>
          <w:rFonts w:ascii="Arial" w:hAnsi="Arial" w:cs="Arial"/>
          <w:sz w:val="22"/>
          <w:szCs w:val="22"/>
        </w:rPr>
        <w:t xml:space="preserve"> </w:t>
      </w:r>
      <w:proofErr w:type="spellStart"/>
      <w:r w:rsidRPr="009243AC">
        <w:rPr>
          <w:rFonts w:ascii="Arial" w:hAnsi="Arial" w:cs="Arial"/>
          <w:sz w:val="22"/>
          <w:szCs w:val="22"/>
        </w:rPr>
        <w:t>Press</w:t>
      </w:r>
      <w:proofErr w:type="spellEnd"/>
      <w:r w:rsidRPr="009243AC">
        <w:rPr>
          <w:rFonts w:ascii="Arial" w:hAnsi="Arial" w:cs="Arial"/>
          <w:sz w:val="22"/>
          <w:szCs w:val="22"/>
        </w:rPr>
        <w:t>.</w:t>
      </w:r>
    </w:p>
    <w:p w14:paraId="393DBE58" w14:textId="77777777" w:rsidR="009243AC" w:rsidRPr="009243AC" w:rsidRDefault="009243AC" w:rsidP="009243AC">
      <w:pPr>
        <w:ind w:left="708"/>
        <w:rPr>
          <w:rFonts w:ascii="Arial" w:hAnsi="Arial" w:cs="Arial"/>
          <w:sz w:val="22"/>
          <w:szCs w:val="22"/>
        </w:rPr>
      </w:pPr>
      <w:r w:rsidRPr="009243AC">
        <w:rPr>
          <w:rFonts w:ascii="Arial" w:hAnsi="Arial" w:cs="Arial"/>
          <w:sz w:val="22"/>
          <w:szCs w:val="22"/>
        </w:rPr>
        <w:t xml:space="preserve">Drucker, P. F. (1993). </w:t>
      </w:r>
      <w:proofErr w:type="spellStart"/>
      <w:r w:rsidRPr="009243AC">
        <w:rPr>
          <w:rFonts w:ascii="Arial" w:hAnsi="Arial" w:cs="Arial"/>
          <w:i/>
          <w:iCs/>
          <w:sz w:val="22"/>
          <w:szCs w:val="22"/>
        </w:rPr>
        <w:t>Post-capitalist</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society</w:t>
      </w:r>
      <w:proofErr w:type="spellEnd"/>
      <w:r w:rsidRPr="009243AC">
        <w:rPr>
          <w:rFonts w:ascii="Arial" w:hAnsi="Arial" w:cs="Arial"/>
          <w:sz w:val="22"/>
          <w:szCs w:val="22"/>
        </w:rPr>
        <w:t xml:space="preserve">. </w:t>
      </w:r>
      <w:proofErr w:type="spellStart"/>
      <w:r w:rsidRPr="009243AC">
        <w:rPr>
          <w:rFonts w:ascii="Arial" w:hAnsi="Arial" w:cs="Arial"/>
          <w:sz w:val="22"/>
          <w:szCs w:val="22"/>
        </w:rPr>
        <w:t>HarperBusiness</w:t>
      </w:r>
      <w:proofErr w:type="spellEnd"/>
      <w:r w:rsidRPr="009243AC">
        <w:rPr>
          <w:rFonts w:ascii="Arial" w:hAnsi="Arial" w:cs="Arial"/>
          <w:sz w:val="22"/>
          <w:szCs w:val="22"/>
        </w:rPr>
        <w:t>.</w:t>
      </w:r>
    </w:p>
    <w:p w14:paraId="10BBF789" w14:textId="77777777" w:rsidR="009243AC" w:rsidRPr="009243AC" w:rsidRDefault="009243AC" w:rsidP="009243AC">
      <w:pPr>
        <w:ind w:left="708"/>
        <w:rPr>
          <w:rFonts w:ascii="Arial" w:hAnsi="Arial" w:cs="Arial"/>
          <w:sz w:val="22"/>
          <w:szCs w:val="22"/>
        </w:rPr>
      </w:pPr>
      <w:r w:rsidRPr="009243AC">
        <w:rPr>
          <w:rFonts w:ascii="Arial" w:hAnsi="Arial" w:cs="Arial"/>
          <w:sz w:val="22"/>
          <w:szCs w:val="22"/>
        </w:rPr>
        <w:t xml:space="preserve">Nonaka, I., &amp; Takeuchi, H. (1995). </w:t>
      </w:r>
      <w:proofErr w:type="spellStart"/>
      <w:r w:rsidRPr="009243AC">
        <w:rPr>
          <w:rFonts w:ascii="Arial" w:hAnsi="Arial" w:cs="Arial"/>
          <w:i/>
          <w:iCs/>
          <w:sz w:val="22"/>
          <w:szCs w:val="22"/>
        </w:rPr>
        <w:t>The</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knowledge-creating</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company</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How</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Japanese</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companies</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create</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the</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dynamics</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of</w:t>
      </w:r>
      <w:proofErr w:type="spellEnd"/>
      <w:r w:rsidRPr="009243AC">
        <w:rPr>
          <w:rFonts w:ascii="Arial" w:hAnsi="Arial" w:cs="Arial"/>
          <w:i/>
          <w:iCs/>
          <w:sz w:val="22"/>
          <w:szCs w:val="22"/>
        </w:rPr>
        <w:t xml:space="preserve"> </w:t>
      </w:r>
      <w:proofErr w:type="spellStart"/>
      <w:r w:rsidRPr="009243AC">
        <w:rPr>
          <w:rFonts w:ascii="Arial" w:hAnsi="Arial" w:cs="Arial"/>
          <w:i/>
          <w:iCs/>
          <w:sz w:val="22"/>
          <w:szCs w:val="22"/>
        </w:rPr>
        <w:t>innovation</w:t>
      </w:r>
      <w:proofErr w:type="spellEnd"/>
      <w:r w:rsidRPr="009243AC">
        <w:rPr>
          <w:rFonts w:ascii="Arial" w:hAnsi="Arial" w:cs="Arial"/>
          <w:sz w:val="22"/>
          <w:szCs w:val="22"/>
        </w:rPr>
        <w:t xml:space="preserve">. Oxford </w:t>
      </w:r>
      <w:proofErr w:type="spellStart"/>
      <w:r w:rsidRPr="009243AC">
        <w:rPr>
          <w:rFonts w:ascii="Arial" w:hAnsi="Arial" w:cs="Arial"/>
          <w:sz w:val="22"/>
          <w:szCs w:val="22"/>
        </w:rPr>
        <w:t>University</w:t>
      </w:r>
      <w:proofErr w:type="spellEnd"/>
      <w:r w:rsidRPr="009243AC">
        <w:rPr>
          <w:rFonts w:ascii="Arial" w:hAnsi="Arial" w:cs="Arial"/>
          <w:sz w:val="22"/>
          <w:szCs w:val="22"/>
        </w:rPr>
        <w:t xml:space="preserve"> </w:t>
      </w:r>
      <w:proofErr w:type="spellStart"/>
      <w:r w:rsidRPr="009243AC">
        <w:rPr>
          <w:rFonts w:ascii="Arial" w:hAnsi="Arial" w:cs="Arial"/>
          <w:sz w:val="22"/>
          <w:szCs w:val="22"/>
        </w:rPr>
        <w:t>Press</w:t>
      </w:r>
      <w:proofErr w:type="spellEnd"/>
      <w:r w:rsidRPr="009243AC">
        <w:rPr>
          <w:rFonts w:ascii="Arial" w:hAnsi="Arial" w:cs="Arial"/>
          <w:sz w:val="22"/>
          <w:szCs w:val="22"/>
        </w:rPr>
        <w:t>.</w:t>
      </w:r>
    </w:p>
    <w:p w14:paraId="38CA6550" w14:textId="77777777" w:rsidR="009243AC" w:rsidRPr="009243AC" w:rsidRDefault="009243AC" w:rsidP="009243AC"/>
    <w:sectPr w:rsidR="009243AC" w:rsidRPr="009243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AF"/>
    <w:rsid w:val="00433F59"/>
    <w:rsid w:val="00503449"/>
    <w:rsid w:val="006F2096"/>
    <w:rsid w:val="008E0214"/>
    <w:rsid w:val="008F6CD9"/>
    <w:rsid w:val="009243AC"/>
    <w:rsid w:val="00BD74FB"/>
    <w:rsid w:val="00D06BAF"/>
    <w:rsid w:val="00F54E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5359"/>
  <w15:chartTrackingRefBased/>
  <w15:docId w15:val="{8CDA9FB7-7B3A-44C9-A924-3D55D1F0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6B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6B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6B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6B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6B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6B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6B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6B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6B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6B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6B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6B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6B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6B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6B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6BAF"/>
    <w:rPr>
      <w:rFonts w:eastAsiaTheme="majorEastAsia" w:cstheme="majorBidi"/>
      <w:color w:val="272727" w:themeColor="text1" w:themeTint="D8"/>
    </w:rPr>
  </w:style>
  <w:style w:type="paragraph" w:styleId="Ttulo">
    <w:name w:val="Title"/>
    <w:basedOn w:val="Normal"/>
    <w:next w:val="Normal"/>
    <w:link w:val="TtuloCar"/>
    <w:uiPriority w:val="10"/>
    <w:qFormat/>
    <w:rsid w:val="00D0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6B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6B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6B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6BAF"/>
    <w:pPr>
      <w:spacing w:before="160"/>
      <w:jc w:val="center"/>
    </w:pPr>
    <w:rPr>
      <w:i/>
      <w:iCs/>
      <w:color w:val="404040" w:themeColor="text1" w:themeTint="BF"/>
    </w:rPr>
  </w:style>
  <w:style w:type="character" w:customStyle="1" w:styleId="CitaCar">
    <w:name w:val="Cita Car"/>
    <w:basedOn w:val="Fuentedeprrafopredeter"/>
    <w:link w:val="Cita"/>
    <w:uiPriority w:val="29"/>
    <w:rsid w:val="00D06BAF"/>
    <w:rPr>
      <w:i/>
      <w:iCs/>
      <w:color w:val="404040" w:themeColor="text1" w:themeTint="BF"/>
    </w:rPr>
  </w:style>
  <w:style w:type="paragraph" w:styleId="Prrafodelista">
    <w:name w:val="List Paragraph"/>
    <w:basedOn w:val="Normal"/>
    <w:uiPriority w:val="34"/>
    <w:qFormat/>
    <w:rsid w:val="00D06BAF"/>
    <w:pPr>
      <w:ind w:left="720"/>
      <w:contextualSpacing/>
    </w:pPr>
  </w:style>
  <w:style w:type="character" w:styleId="nfasisintenso">
    <w:name w:val="Intense Emphasis"/>
    <w:basedOn w:val="Fuentedeprrafopredeter"/>
    <w:uiPriority w:val="21"/>
    <w:qFormat/>
    <w:rsid w:val="00D06BAF"/>
    <w:rPr>
      <w:i/>
      <w:iCs/>
      <w:color w:val="0F4761" w:themeColor="accent1" w:themeShade="BF"/>
    </w:rPr>
  </w:style>
  <w:style w:type="paragraph" w:styleId="Citadestacada">
    <w:name w:val="Intense Quote"/>
    <w:basedOn w:val="Normal"/>
    <w:next w:val="Normal"/>
    <w:link w:val="CitadestacadaCar"/>
    <w:uiPriority w:val="30"/>
    <w:qFormat/>
    <w:rsid w:val="00D0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6BAF"/>
    <w:rPr>
      <w:i/>
      <w:iCs/>
      <w:color w:val="0F4761" w:themeColor="accent1" w:themeShade="BF"/>
    </w:rPr>
  </w:style>
  <w:style w:type="character" w:styleId="Referenciaintensa">
    <w:name w:val="Intense Reference"/>
    <w:basedOn w:val="Fuentedeprrafopredeter"/>
    <w:uiPriority w:val="32"/>
    <w:qFormat/>
    <w:rsid w:val="00D06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982872">
      <w:bodyDiv w:val="1"/>
      <w:marLeft w:val="0"/>
      <w:marRight w:val="0"/>
      <w:marTop w:val="0"/>
      <w:marBottom w:val="0"/>
      <w:divBdr>
        <w:top w:val="none" w:sz="0" w:space="0" w:color="auto"/>
        <w:left w:val="none" w:sz="0" w:space="0" w:color="auto"/>
        <w:bottom w:val="none" w:sz="0" w:space="0" w:color="auto"/>
        <w:right w:val="none" w:sz="0" w:space="0" w:color="auto"/>
      </w:divBdr>
    </w:div>
    <w:div w:id="700131886">
      <w:bodyDiv w:val="1"/>
      <w:marLeft w:val="0"/>
      <w:marRight w:val="0"/>
      <w:marTop w:val="0"/>
      <w:marBottom w:val="0"/>
      <w:divBdr>
        <w:top w:val="none" w:sz="0" w:space="0" w:color="auto"/>
        <w:left w:val="none" w:sz="0" w:space="0" w:color="auto"/>
        <w:bottom w:val="none" w:sz="0" w:space="0" w:color="auto"/>
        <w:right w:val="none" w:sz="0" w:space="0" w:color="auto"/>
      </w:divBdr>
    </w:div>
    <w:div w:id="1064571443">
      <w:bodyDiv w:val="1"/>
      <w:marLeft w:val="0"/>
      <w:marRight w:val="0"/>
      <w:marTop w:val="0"/>
      <w:marBottom w:val="0"/>
      <w:divBdr>
        <w:top w:val="none" w:sz="0" w:space="0" w:color="auto"/>
        <w:left w:val="none" w:sz="0" w:space="0" w:color="auto"/>
        <w:bottom w:val="none" w:sz="0" w:space="0" w:color="auto"/>
        <w:right w:val="none" w:sz="0" w:space="0" w:color="auto"/>
      </w:divBdr>
    </w:div>
    <w:div w:id="1365907980">
      <w:bodyDiv w:val="1"/>
      <w:marLeft w:val="0"/>
      <w:marRight w:val="0"/>
      <w:marTop w:val="0"/>
      <w:marBottom w:val="0"/>
      <w:divBdr>
        <w:top w:val="none" w:sz="0" w:space="0" w:color="auto"/>
        <w:left w:val="none" w:sz="0" w:space="0" w:color="auto"/>
        <w:bottom w:val="none" w:sz="0" w:space="0" w:color="auto"/>
        <w:right w:val="none" w:sz="0" w:space="0" w:color="auto"/>
      </w:divBdr>
    </w:div>
    <w:div w:id="1608809042">
      <w:bodyDiv w:val="1"/>
      <w:marLeft w:val="0"/>
      <w:marRight w:val="0"/>
      <w:marTop w:val="0"/>
      <w:marBottom w:val="0"/>
      <w:divBdr>
        <w:top w:val="none" w:sz="0" w:space="0" w:color="auto"/>
        <w:left w:val="none" w:sz="0" w:space="0" w:color="auto"/>
        <w:bottom w:val="none" w:sz="0" w:space="0" w:color="auto"/>
        <w:right w:val="none" w:sz="0" w:space="0" w:color="auto"/>
      </w:divBdr>
    </w:div>
    <w:div w:id="192414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0FF6F-2A18-4FF2-A006-B33FA5A0A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2023</Words>
  <Characters>11127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Suarez</dc:creator>
  <cp:keywords/>
  <dc:description/>
  <cp:lastModifiedBy>Emanuel Suarez</cp:lastModifiedBy>
  <cp:revision>1</cp:revision>
  <dcterms:created xsi:type="dcterms:W3CDTF">2026-03-05T10:18:00Z</dcterms:created>
  <dcterms:modified xsi:type="dcterms:W3CDTF">2026-03-05T11:33:00Z</dcterms:modified>
</cp:coreProperties>
</file>