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200"/>
      </w:pPr>
      <w:r>
        <w:rPr>
          <w:rFonts w:ascii="Calibri" w:cs="Calibri" w:eastAsia="Calibri" w:hAnsi="Calibri"/>
        </w:rPr>
        <w:t xml:space="preserve">DTIA India: case-law table with verified pinpoint references</w:t>
      </w:r>
    </w:p>
    <w:p>
      <w:pPr>
        <w:spacing w:after="80"/>
      </w:pPr>
      <w:r>
        <w:rPr>
          <w:rFonts w:ascii="Calibri" w:cs="Calibri" w:eastAsia="Calibri" w:hAnsi="Calibri"/>
          <w:sz w:val="19"/>
          <w:szCs w:val="19"/>
        </w:rPr>
        <w:t xml:space="preserve">Status as at 30 October 2026. This table covers every case referred to in the original DTIA paragraph (Part A), the cases added during the verification (Part B), and the cases cited within those judgments that are relied on in the redline comments (Part C).</w:t>
      </w:r>
    </w:p>
    <w:p>
      <w:pPr>
        <w:spacing w:after="80"/>
      </w:pPr>
      <w:r>
        <w:rPr>
          <w:rFonts w:ascii="Calibri" w:cs="Calibri" w:eastAsia="Calibri" w:hAnsi="Calibri"/>
          <w:sz w:val="19"/>
          <w:szCs w:val="19"/>
        </w:rPr>
        <w:t xml:space="preserve">Method. Each pinpoint was located in a free copy of the judgment or order, preferring the court's own PDF (Supreme Court website, or a court-signed copy where the court website could not be accessed), and cross-checked against Indian Kanoon. "p." means the page of the PDF linked in the Sources column. "ROP" means a Supreme Court record of proceedings. Where the court PDF has no paragraph numbers, or a source differs, this is stated in the cross-check note. Where something could not be verified from a primary record, the table says so.</w:t>
      </w:r>
    </w:p>
    <w:p>
      <w:pPr>
        <w:pStyle w:val="Heading2"/>
        <w:spacing w:after="100" w:before="200"/>
      </w:pPr>
      <w:r>
        <w:rPr>
          <w:rFonts w:ascii="Calibri" w:cs="Calibri" w:eastAsia="Calibri" w:hAnsi="Calibri"/>
        </w:rPr>
        <w:t xml:space="preserve">Corrections and cautions arising from this cross-check</w:t>
      </w:r>
    </w:p>
    <w:p>
      <w:pPr>
        <w:pStyle w:val="ListParagraph"/>
        <w:numPr>
          <w:ilvl w:val="0"/>
          <w:numId w:val="2"/>
        </w:numPr>
        <w:spacing w:after="50"/>
      </w:pPr>
      <w:r>
        <w:rPr>
          <w:rFonts w:ascii="Calibri" w:cs="Calibri" w:eastAsia="Calibri" w:hAnsi="Calibri"/>
          <w:sz w:val="19"/>
          <w:szCs w:val="19"/>
        </w:rPr>
        <w:t xml:space="preserve">PUCL (1996): Indian Kanoon numbers the Art. 21 privacy passages one higher than the SCC numbering used by the Supreme Court in Puttaswamy (paras 17–18). Cite paras 17–18, 28–31 and 35.</w:t>
      </w:r>
    </w:p>
    <w:p>
      <w:pPr>
        <w:pStyle w:val="ListParagraph"/>
        <w:numPr>
          <w:ilvl w:val="0"/>
          <w:numId w:val="2"/>
        </w:numPr>
        <w:spacing w:after="50"/>
      </w:pPr>
      <w:r>
        <w:rPr>
          <w:rFonts w:ascii="Calibri" w:cs="Calibri" w:eastAsia="Calibri" w:hAnsi="Calibri"/>
          <w:sz w:val="19"/>
          <w:szCs w:val="19"/>
        </w:rPr>
        <w:t xml:space="preserve">Vinit Kumar (2019): the CBI's SLP (Crl.) 902/2020 is PENDING in the Supreme Court, and a stay has been reported in commentary (stay order not located). The DTIA should note this rather than present the judgment as settled.</w:t>
      </w:r>
    </w:p>
    <w:p>
      <w:pPr>
        <w:pStyle w:val="ListParagraph"/>
        <w:numPr>
          <w:ilvl w:val="0"/>
          <w:numId w:val="2"/>
        </w:numPr>
        <w:spacing w:after="50"/>
      </w:pPr>
      <w:r>
        <w:rPr>
          <w:rFonts w:ascii="Calibri" w:cs="Calibri" w:eastAsia="Calibri" w:hAnsi="Calibri"/>
          <w:sz w:val="19"/>
          <w:szCs w:val="19"/>
        </w:rPr>
        <w:t xml:space="preserve">CPIL: the transfer petition number in the DTIA paragraph (T.P.(C) 2567/2023) is CORRECT, and the transfer was ALLOWED on 19 Mar 2025. W.P.(C) 8998/2020 is now pending in the Supreme Court with W.P.(C) Nos. 61 and 13 of 2019.</w:t>
      </w:r>
    </w:p>
    <w:p>
      <w:pPr>
        <w:pStyle w:val="ListParagraph"/>
        <w:numPr>
          <w:ilvl w:val="0"/>
          <w:numId w:val="2"/>
        </w:numPr>
        <w:spacing w:after="50"/>
      </w:pPr>
      <w:r>
        <w:rPr>
          <w:rFonts w:ascii="Calibri" w:cs="Calibri" w:eastAsia="Calibri" w:hAnsi="Calibri"/>
          <w:sz w:val="19"/>
          <w:szCs w:val="19"/>
        </w:rPr>
        <w:t xml:space="preserve">K.L.D. Nagasree: the Supreme Court dismissed the CBI's SLP on 15 Apr 2025 "leaving the question of law open", and dismissed the review on 21 Jan 2026. It is not a Supreme Court affirmance on the merits, despite the description in P. Kishore para 96.</w:t>
      </w:r>
    </w:p>
    <w:p>
      <w:pPr>
        <w:pStyle w:val="ListParagraph"/>
        <w:numPr>
          <w:ilvl w:val="0"/>
          <w:numId w:val="2"/>
        </w:numPr>
        <w:spacing w:after="50"/>
      </w:pPr>
      <w:r>
        <w:rPr>
          <w:rFonts w:ascii="Calibri" w:cs="Calibri" w:eastAsia="Calibri" w:hAnsi="Calibri"/>
          <w:sz w:val="19"/>
          <w:szCs w:val="19"/>
        </w:rPr>
        <w:t xml:space="preserve">S.M. Mannan (2024): the CBI's SLP (Crl.) 15787/2024 is pending in the Supreme Court.</w:t>
      </w:r>
    </w:p>
    <w:p>
      <w:pPr>
        <w:pStyle w:val="ListParagraph"/>
        <w:numPr>
          <w:ilvl w:val="0"/>
          <w:numId w:val="2"/>
        </w:numPr>
        <w:spacing w:after="50"/>
      </w:pPr>
      <w:r>
        <w:rPr>
          <w:rFonts w:ascii="Calibri" w:cs="Calibri" w:eastAsia="Calibri" w:hAnsi="Calibri"/>
          <w:sz w:val="19"/>
          <w:szCs w:val="19"/>
        </w:rPr>
        <w:t xml:space="preserve">DPDP challenges: the signed records of proceedings show the matters still before a three-judge bench (07.08.2026), next listed on 17 Nov 2026. The press report of a reference to a larger bench is not borne out by those orders, and no stay has been granted.</w:t>
      </w:r>
    </w:p>
    <w:p>
      <w:pPr>
        <w:pStyle w:val="ListParagraph"/>
        <w:numPr>
          <w:ilvl w:val="0"/>
          <w:numId w:val="2"/>
        </w:numPr>
        <w:spacing w:after="50"/>
      </w:pPr>
      <w:r>
        <w:rPr>
          <w:rFonts w:ascii="Calibri" w:cs="Calibri" w:eastAsia="Calibri" w:hAnsi="Calibri"/>
          <w:sz w:val="19"/>
          <w:szCs w:val="19"/>
        </w:rPr>
        <w:t xml:space="preserve">Pegasus: the finding of malware on 5 of 29 phones (reported from the court hearing, August 2022) and the indication on 29.04.2025 that the report would not be made public are press-reported only. The signed ROPs confirm the receipt of the reports in sealed cover (25.08.2022) and the listing for 29.04.2025.</w:t>
      </w:r>
    </w:p>
    <w:p>
      <w:pPr>
        <w:pStyle w:val="ListParagraph"/>
        <w:numPr>
          <w:ilvl w:val="0"/>
          <w:numId w:val="2"/>
        </w:numPr>
        <w:spacing w:after="50"/>
      </w:pPr>
      <w:r>
        <w:rPr>
          <w:rFonts w:ascii="Calibri" w:cs="Calibri" w:eastAsia="Calibri" w:hAnsi="Calibri"/>
          <w:sz w:val="19"/>
          <w:szCs w:val="19"/>
        </w:rPr>
        <w:t xml:space="preserve">WhatsApp traceability challenge (W.P.(C) 7284/2021) and the Foundation for Media Professionals / Future Gaming batch are pending, with next listings of 17.11.2026 and 14.04.2026 respectively (no later FMP order located).</w:t>
      </w:r>
    </w:p>
    <w:p>
      <w:pPr>
        <w:pStyle w:val="Heading2"/>
        <w:spacing w:after="100" w:before="200"/>
      </w:pPr>
      <w:r>
        <w:rPr>
          <w:rFonts w:ascii="Calibri" w:cs="Calibri" w:eastAsia="Calibri" w:hAnsi="Calibri"/>
        </w:rPr>
        <w:t xml:space="preserve">Part A: Cases referred to in the original DTIA paragraph</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50"/>
        <w:gridCol w:w="2350"/>
        <w:gridCol w:w="4350"/>
        <w:gridCol w:w="2450"/>
        <w:gridCol w:w="2350"/>
        <w:gridCol w:w="1248"/>
      </w:tblGrid>
      <w:tr>
        <w:trPr>
          <w:tblHeader/>
        </w:trPr>
        <w:tc>
          <w:tcPr>
            <w:tcW w:type="dxa" w:w="265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Calibri" w:cs="Calibri" w:eastAsia="Calibri" w:hAnsi="Calibri"/>
                <w:b/>
                <w:bCs/>
                <w:sz w:val="15"/>
                <w:szCs w:val="15"/>
              </w:rPr>
              <w:t xml:space="preserve">Case, court, number, date, citation</w:t>
            </w:r>
          </w:p>
        </w:tc>
        <w:tc>
          <w:tcPr>
            <w:tcW w:type="dxa" w:w="235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Calibri" w:cs="Calibri" w:eastAsia="Calibri" w:hAnsi="Calibri"/>
                <w:b/>
                <w:bCs/>
                <w:sz w:val="15"/>
                <w:szCs w:val="15"/>
              </w:rPr>
              <w:t xml:space="preserve">Proposition relevant to the DTIA</w:t>
            </w:r>
          </w:p>
        </w:tc>
        <w:tc>
          <w:tcPr>
            <w:tcW w:type="dxa" w:w="435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Calibri" w:cs="Calibri" w:eastAsia="Calibri" w:hAnsi="Calibri"/>
                <w:b/>
                <w:bCs/>
                <w:sz w:val="15"/>
                <w:szCs w:val="15"/>
              </w:rPr>
              <w:t xml:space="preserve">Pinpoint paragraphs (and page of the free PDF)</w:t>
            </w:r>
          </w:p>
        </w:tc>
        <w:tc>
          <w:tcPr>
            <w:tcW w:type="dxa" w:w="245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Calibri" w:cs="Calibri" w:eastAsia="Calibri" w:hAnsi="Calibri"/>
                <w:b/>
                <w:bCs/>
                <w:sz w:val="15"/>
                <w:szCs w:val="15"/>
              </w:rPr>
              <w:t xml:space="preserve">Status as at 30 Oct 2026 / subsequent history</w:t>
            </w:r>
          </w:p>
        </w:tc>
        <w:tc>
          <w:tcPr>
            <w:tcW w:type="dxa" w:w="235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Calibri" w:cs="Calibri" w:eastAsia="Calibri" w:hAnsi="Calibri"/>
                <w:b/>
                <w:bCs/>
                <w:sz w:val="15"/>
                <w:szCs w:val="15"/>
              </w:rPr>
              <w:t xml:space="preserve">Free sources ([P] primary, [IK] Indian Kanoon, [S] secondary)</w:t>
            </w:r>
          </w:p>
        </w:tc>
        <w:tc>
          <w:tcPr>
            <w:tcW w:type="dxa" w:w="1248"/>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Calibri" w:cs="Calibri" w:eastAsia="Calibri" w:hAnsi="Calibri"/>
                <w:b/>
                <w:bCs/>
                <w:sz w:val="15"/>
                <w:szCs w:val="15"/>
              </w:rPr>
              <w:t xml:space="preserve">Cross-check note</w:t>
            </w:r>
          </w:p>
        </w:tc>
      </w:tr>
      <w:tr>
        <w:trPr>
          <w:cantSplit w:val="false"/>
        </w:trPr>
        <w:tc>
          <w:tcPr>
            <w:tcW w:type="dxa" w:w="26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bCs/>
                <w:sz w:val="15"/>
                <w:szCs w:val="15"/>
              </w:rPr>
              <w:t xml:space="preserve">1. People's Union for Civil Liberties (PUCL) v. Union of India &amp; Anr.</w:t>
            </w:r>
          </w:p>
          <w:p>
            <w:pPr>
              <w:spacing w:after="40"/>
            </w:pPr>
            <w:r>
              <w:rPr>
                <w:rFonts w:ascii="Calibri" w:cs="Calibri" w:eastAsia="Calibri" w:hAnsi="Calibri"/>
                <w:i/>
                <w:iCs/>
                <w:sz w:val="15"/>
                <w:szCs w:val="15"/>
              </w:rPr>
              <w:t xml:space="preserve">Supreme Court of India; Kuldip Singh and S. Saghir Ahmad JJ; decided 18 Dec 1996; (1997) 1 SCC 301; AIR 1997 SC 568</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Telephone tapping infringes Article 21 unless permitted by a procedure established by law, and Article 19(1)(a) unless it falls within Article 19(2). "Public emergency" or "public safety" is the sine qua non for interception under s.5(2) of the Telegraph Act. The Court laid down procedural safeguards, including Review Committees, which became the basis of rule 419A.</w:t>
            </w:r>
          </w:p>
        </w:tc>
        <w:tc>
          <w:tcPr>
            <w:tcW w:type="dxa" w:w="4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pStyle w:val="ListParagraph"/>
              <w:numPr>
                <w:ilvl w:val="0"/>
                <w:numId w:val="3"/>
              </w:numPr>
              <w:spacing w:after="30"/>
            </w:pPr>
            <w:r>
              <w:rPr>
                <w:rFonts w:ascii="Calibri" w:cs="Calibri" w:eastAsia="Calibri" w:hAnsi="Calibri"/>
                <w:sz w:val="15"/>
                <w:szCs w:val="15"/>
              </w:rPr>
              <w:t xml:space="preserve">Para 3 (PDF pp.1–2): CBI report paras 21–22 quoted, e.g. "One agency is not maintaining even the log books of interception". This supports the DTIA statement about inadequate records and logs.</w:t>
            </w:r>
          </w:p>
          <w:p>
            <w:pPr>
              <w:pStyle w:val="ListParagraph"/>
              <w:numPr>
                <w:ilvl w:val="0"/>
                <w:numId w:val="3"/>
              </w:numPr>
              <w:spacing w:after="30"/>
            </w:pPr>
            <w:r>
              <w:rPr>
                <w:rFonts w:ascii="Calibri" w:cs="Calibri" w:eastAsia="Calibri" w:hAnsi="Calibri"/>
                <w:sz w:val="15"/>
                <w:szCs w:val="15"/>
              </w:rPr>
              <w:t xml:space="preserve">Para 17 (PDF p.9): right to privacy is part of "life" and "personal liberty" under Art. 21.</w:t>
            </w:r>
          </w:p>
          <w:p>
            <w:pPr>
              <w:pStyle w:val="ListParagraph"/>
              <w:numPr>
                <w:ilvl w:val="0"/>
                <w:numId w:val="3"/>
              </w:numPr>
              <w:spacing w:after="30"/>
            </w:pPr>
            <w:r>
              <w:rPr>
                <w:rFonts w:ascii="Calibri" w:cs="Calibri" w:eastAsia="Calibri" w:hAnsi="Calibri"/>
                <w:sz w:val="15"/>
                <w:szCs w:val="15"/>
              </w:rPr>
              <w:t xml:space="preserve">Para 18 (PDF p.9): "Telephone conversation is an important facet of a man's private life"; tapping infracts Art. 21 unless permitted by procedure established by law.</w:t>
            </w:r>
          </w:p>
          <w:p>
            <w:pPr>
              <w:pStyle w:val="ListParagraph"/>
              <w:numPr>
                <w:ilvl w:val="0"/>
                <w:numId w:val="3"/>
              </w:numPr>
              <w:spacing w:after="30"/>
            </w:pPr>
            <w:r>
              <w:rPr>
                <w:rFonts w:ascii="Calibri" w:cs="Calibri" w:eastAsia="Calibri" w:hAnsi="Calibri"/>
                <w:sz w:val="15"/>
                <w:szCs w:val="15"/>
              </w:rPr>
              <w:t xml:space="preserve">Art. 19(1)(a)/19(2) passage (PDF p.9): numbered para 20 on Indian Kanoon; the SCC number is not independently confirmed.</w:t>
            </w:r>
          </w:p>
          <w:p>
            <w:pPr>
              <w:pStyle w:val="ListParagraph"/>
              <w:numPr>
                <w:ilvl w:val="0"/>
                <w:numId w:val="3"/>
              </w:numPr>
              <w:spacing w:after="30"/>
            </w:pPr>
            <w:r>
              <w:rPr>
                <w:rFonts w:ascii="Calibri" w:cs="Calibri" w:eastAsia="Calibri" w:hAnsi="Calibri"/>
                <w:sz w:val="15"/>
                <w:szCs w:val="15"/>
              </w:rPr>
              <w:t xml:space="preserve">Para 28 (PDF p.12): public emergency or public safety is the sine qua non; definitions of both terms.</w:t>
            </w:r>
          </w:p>
          <w:p>
            <w:pPr>
              <w:pStyle w:val="ListParagraph"/>
              <w:numPr>
                <w:ilvl w:val="0"/>
                <w:numId w:val="3"/>
              </w:numPr>
              <w:spacing w:after="30"/>
            </w:pPr>
            <w:r>
              <w:rPr>
                <w:rFonts w:ascii="Calibri" w:cs="Calibri" w:eastAsia="Calibri" w:hAnsi="Calibri"/>
                <w:sz w:val="15"/>
                <w:szCs w:val="15"/>
              </w:rPr>
              <w:t xml:space="preserve">Paras 29–30 (PDF p.12): two-step test; the procedure must be "just, fair and reasonable".</w:t>
            </w:r>
          </w:p>
          <w:p>
            <w:pPr>
              <w:pStyle w:val="ListParagraph"/>
              <w:numPr>
                <w:ilvl w:val="0"/>
                <w:numId w:val="3"/>
              </w:numPr>
              <w:spacing w:after="30"/>
            </w:pPr>
            <w:r>
              <w:rPr>
                <w:rFonts w:ascii="Calibri" w:cs="Calibri" w:eastAsia="Calibri" w:hAnsi="Calibri"/>
                <w:sz w:val="15"/>
                <w:szCs w:val="15"/>
              </w:rPr>
              <w:t xml:space="preserve">Para 31 (PDF pp.12–13): no rules framed under s.7(2)(b); the CBI investigation revealed lapses.</w:t>
            </w:r>
          </w:p>
          <w:p>
            <w:pPr>
              <w:pStyle w:val="ListParagraph"/>
              <w:numPr>
                <w:ilvl w:val="0"/>
                <w:numId w:val="3"/>
              </w:numPr>
              <w:spacing w:after="30"/>
            </w:pPr>
            <w:r>
              <w:rPr>
                <w:rFonts w:ascii="Calibri" w:cs="Calibri" w:eastAsia="Calibri" w:hAnsi="Calibri"/>
                <w:sz w:val="15"/>
                <w:szCs w:val="15"/>
              </w:rPr>
              <w:t xml:space="preserve">Para 35 (PDF pp.16–17): directions 1–9; direction 9 (Review Committee) is on PDF p.17.</w:t>
            </w:r>
          </w:p>
        </w:tc>
        <w:tc>
          <w:tcPr>
            <w:tcW w:type="dxa" w:w="24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Good law. Reaffirmed in Puttaswamy (2017): Nariman J, para 75 (PDF p.439) quotes PUCL paras 17–18. Rule 419A, which codified these directions, was superseded on 6 Dec 2024 by the Telecommunications Interception Rules, 2024, which retain the review committee.</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50"/>
            </w:pPr>
            <w:r>
              <w:rPr>
                <w:rFonts w:ascii="Calibri" w:cs="Calibri" w:eastAsia="Calibri" w:hAnsi="Calibri"/>
                <w:sz w:val="15"/>
                <w:szCs w:val="15"/>
              </w:rPr>
              <w:t xml:space="preserve">[P] Official judgment (SC, 17 pp.): </w:t>
            </w:r>
            <w:hyperlink w:history="1" r:id="rId8giz7igxrh9wefdok4mtl">
              <w:r>
                <w:rPr>
                  <w:rStyle w:val="Hyperlink"/>
                  <w:rFonts w:ascii="Calibri" w:cs="Calibri" w:eastAsia="Calibri" w:hAnsi="Calibri"/>
                  <w:sz w:val="14"/>
                  <w:szCs w:val="14"/>
                </w:rPr>
                <w:t xml:space="preserve">https://api.sci.gov.in/jonew/judis/14584.pdf</w:t>
              </w:r>
            </w:hyperlink>
          </w:p>
          <w:p>
            <w:pPr>
              <w:spacing w:after="50"/>
            </w:pPr>
            <w:r>
              <w:rPr>
                <w:rFonts w:ascii="Calibri" w:cs="Calibri" w:eastAsia="Calibri" w:hAnsi="Calibri"/>
                <w:sz w:val="15"/>
                <w:szCs w:val="15"/>
              </w:rPr>
              <w:t xml:space="preserve">[IK] Indian Kanoon: </w:t>
            </w:r>
            <w:hyperlink w:history="1" r:id="rIdhixoo0u1erkip1rbmxuki">
              <w:r>
                <w:rPr>
                  <w:rStyle w:val="Hyperlink"/>
                  <w:rFonts w:ascii="Calibri" w:cs="Calibri" w:eastAsia="Calibri" w:hAnsi="Calibri"/>
                  <w:sz w:val="14"/>
                  <w:szCs w:val="14"/>
                </w:rPr>
                <w:t xml:space="preserve">https://indiankanoon.org/doc/31276692/</w:t>
              </w:r>
            </w:hyperlink>
          </w:p>
        </w:tc>
        <w:tc>
          <w:tcPr>
            <w:tcW w:type="dxa" w:w="1248"/>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The official 1996 PDF has no paragraph numbers, so paragraph numbers are the SCC numbers as quoted by the Supreme Court and High Courts (Puttaswamy p.439; Vinit Kumar pp.4–6; P. Kishore pp.44–46). DISCREPANCY: Indian Kanoon numbers the Art. 21 privacy passages as paras 18–19, one higher than the SCC numbering. Paras 28–35 match across all sources.</w:t>
            </w:r>
          </w:p>
        </w:tc>
      </w:tr>
      <w:tr>
        <w:trPr>
          <w:cantSplit w:val="false"/>
        </w:trPr>
        <w:tc>
          <w:tcPr>
            <w:tcW w:type="dxa" w:w="26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bCs/>
                <w:sz w:val="15"/>
                <w:szCs w:val="15"/>
              </w:rPr>
              <w:t xml:space="preserve">2. Justice K.S. Puttaswamy (Retd.) &amp; Anr. v. Union of India &amp; Ors. (Privacy)</w:t>
            </w:r>
          </w:p>
          <w:p>
            <w:pPr>
              <w:spacing w:after="40"/>
            </w:pPr>
            <w:r>
              <w:rPr>
                <w:rFonts w:ascii="Calibri" w:cs="Calibri" w:eastAsia="Calibri" w:hAnsi="Calibri"/>
                <w:i/>
                <w:iCs/>
                <w:sz w:val="15"/>
                <w:szCs w:val="15"/>
              </w:rPr>
              <w:t xml:space="preserve">Supreme Court; nine-judge bench; W.P.(C) No. 494 of 2012; decided 24 Aug 2017; (2017) 10 SCC 1</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Privacy is a fundamental right. Any invasion must satisfy legality, a legitimate aim (need) and proportionality, with procedural guarantees against abuse. The judgment recognises informational privacy, and national security as a legitimate State aim, and calls for a data protection regime.</w:t>
            </w:r>
          </w:p>
        </w:tc>
        <w:tc>
          <w:tcPr>
            <w:tcW w:type="dxa" w:w="4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pStyle w:val="ListParagraph"/>
              <w:numPr>
                <w:ilvl w:val="0"/>
                <w:numId w:val="3"/>
              </w:numPr>
              <w:spacing w:after="30"/>
            </w:pPr>
            <w:r>
              <w:rPr>
                <w:rFonts w:ascii="Calibri" w:cs="Calibri" w:eastAsia="Calibri" w:hAnsi="Calibri"/>
                <w:sz w:val="15"/>
                <w:szCs w:val="15"/>
              </w:rPr>
              <w:t xml:space="preserve">Chandrachud J (plurality), paras 176–179 (PDF pp.252–254): data protection; informational privacy; the State has a legitimate interest in monitoring for national security.</w:t>
            </w:r>
          </w:p>
          <w:p>
            <w:pPr>
              <w:pStyle w:val="ListParagraph"/>
              <w:numPr>
                <w:ilvl w:val="0"/>
                <w:numId w:val="3"/>
              </w:numPr>
              <w:spacing w:after="30"/>
            </w:pPr>
            <w:r>
              <w:rPr>
                <w:rFonts w:ascii="Calibri" w:cs="Calibri" w:eastAsia="Calibri" w:hAnsi="Calibri"/>
                <w:sz w:val="15"/>
                <w:szCs w:val="15"/>
              </w:rPr>
              <w:t xml:space="preserve">Chandrachud J, para 180 (PDF pp.254–255): "three-fold requirement" of legality, legitimate aim and proportionality.</w:t>
            </w:r>
          </w:p>
          <w:p>
            <w:pPr>
              <w:pStyle w:val="ListParagraph"/>
              <w:numPr>
                <w:ilvl w:val="0"/>
                <w:numId w:val="3"/>
              </w:numPr>
              <w:spacing w:after="30"/>
            </w:pPr>
            <w:r>
              <w:rPr>
                <w:rFonts w:ascii="Calibri" w:cs="Calibri" w:eastAsia="Calibri" w:hAnsi="Calibri"/>
                <w:sz w:val="15"/>
                <w:szCs w:val="15"/>
              </w:rPr>
              <w:t xml:space="preserve">Chandrachud J, Part T "Our Conclusions" (PDF pp.260–265): conclusion 3(H) (p.264) on the three-fold test; conclusion 5 (pp.264–265) on informational privacy, national security and the Srikrishna Committee.</w:t>
            </w:r>
          </w:p>
          <w:p>
            <w:pPr>
              <w:pStyle w:val="ListParagraph"/>
              <w:numPr>
                <w:ilvl w:val="0"/>
                <w:numId w:val="3"/>
              </w:numPr>
              <w:spacing w:after="30"/>
            </w:pPr>
            <w:r>
              <w:rPr>
                <w:rFonts w:ascii="Calibri" w:cs="Calibri" w:eastAsia="Calibri" w:hAnsi="Calibri"/>
                <w:sz w:val="15"/>
                <w:szCs w:val="15"/>
              </w:rPr>
              <w:t xml:space="preserve">Nariman J, para 75 (PDF p.439): quotes PUCL paras 17–18.</w:t>
            </w:r>
          </w:p>
          <w:p>
            <w:pPr>
              <w:pStyle w:val="ListParagraph"/>
              <w:numPr>
                <w:ilvl w:val="0"/>
                <w:numId w:val="3"/>
              </w:numPr>
              <w:spacing w:after="30"/>
            </w:pPr>
            <w:r>
              <w:rPr>
                <w:rFonts w:ascii="Calibri" w:cs="Calibri" w:eastAsia="Calibri" w:hAnsi="Calibri"/>
                <w:sz w:val="15"/>
                <w:szCs w:val="15"/>
              </w:rPr>
              <w:t xml:space="preserve">Kaul J, para 71 (PDF p.533): four-part test (sanctioned by law; necessary for a legitimate aim; proportionate; procedural guarantees against abuse).</w:t>
            </w:r>
          </w:p>
          <w:p>
            <w:pPr>
              <w:pStyle w:val="ListParagraph"/>
              <w:numPr>
                <w:ilvl w:val="0"/>
                <w:numId w:val="3"/>
              </w:numPr>
              <w:spacing w:after="30"/>
            </w:pPr>
            <w:r>
              <w:rPr>
                <w:rFonts w:ascii="Calibri" w:cs="Calibri" w:eastAsia="Calibri" w:hAnsi="Calibri"/>
                <w:sz w:val="15"/>
                <w:szCs w:val="15"/>
              </w:rPr>
              <w:t xml:space="preserve">Order of the Court (PDF pp.546–547): privacy is protected as an intrinsic part of Art. 21 and Part III.</w:t>
            </w:r>
          </w:p>
        </w:tc>
        <w:tc>
          <w:tcPr>
            <w:tcW w:type="dxa" w:w="24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Good law. Applied in Puttaswamy (Aadhaar) (2019) and in later High Court interception cases (e.g. Vinit Kumar para 12; P. Kishore).</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50"/>
            </w:pPr>
            <w:r>
              <w:rPr>
                <w:rFonts w:ascii="Calibri" w:cs="Calibri" w:eastAsia="Calibri" w:hAnsi="Calibri"/>
                <w:sz w:val="15"/>
                <w:szCs w:val="15"/>
              </w:rPr>
              <w:t xml:space="preserve">[P] Official judgment (SC, 547 pp.): </w:t>
            </w:r>
            <w:hyperlink w:history="1" r:id="rIdhhfhkb4pkuaptbtbzndd7">
              <w:r>
                <w:rPr>
                  <w:rStyle w:val="Hyperlink"/>
                  <w:rFonts w:ascii="Calibri" w:cs="Calibri" w:eastAsia="Calibri" w:hAnsi="Calibri"/>
                  <w:sz w:val="14"/>
                  <w:szCs w:val="14"/>
                </w:rPr>
                <w:t xml:space="preserve">https://api.sci.gov.in/supremecourt/2012/35071/35071_2012_Judgement_24-Aug-2017.pdf</w:t>
              </w:r>
            </w:hyperlink>
          </w:p>
          <w:p>
            <w:pPr>
              <w:spacing w:after="50"/>
            </w:pPr>
            <w:r>
              <w:rPr>
                <w:rFonts w:ascii="Calibri" w:cs="Calibri" w:eastAsia="Calibri" w:hAnsi="Calibri"/>
                <w:sz w:val="15"/>
                <w:szCs w:val="15"/>
              </w:rPr>
              <w:t xml:space="preserve">[IK] Indian Kanoon: </w:t>
            </w:r>
            <w:hyperlink w:history="1" r:id="rIdnsmtu6alzruxqy9m8ytk7">
              <w:r>
                <w:rPr>
                  <w:rStyle w:val="Hyperlink"/>
                  <w:rFonts w:ascii="Calibri" w:cs="Calibri" w:eastAsia="Calibri" w:hAnsi="Calibri"/>
                  <w:sz w:val="14"/>
                  <w:szCs w:val="14"/>
                </w:rPr>
                <w:t xml:space="preserve">https://indiankanoon.org/doc/91938676/</w:t>
              </w:r>
            </w:hyperlink>
          </w:p>
        </w:tc>
        <w:tc>
          <w:tcPr>
            <w:tcW w:type="dxa" w:w="1248"/>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Each opinion is numbered separately in the official PDF; numbers cited are the official/Indian Kanoon numbers, not SCC numbers. Chandrachud J para 180 and Kaul J para 71 match on Indian Kanoon.</w:t>
            </w:r>
          </w:p>
        </w:tc>
      </w:tr>
      <w:tr>
        <w:trPr>
          <w:cantSplit w:val="false"/>
        </w:trPr>
        <w:tc>
          <w:tcPr>
            <w:tcW w:type="dxa" w:w="26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bCs/>
                <w:sz w:val="15"/>
                <w:szCs w:val="15"/>
              </w:rPr>
              <w:t xml:space="preserve">3. Vinit Kumar v. Central Bureau of Investigation &amp; Ors.</w:t>
            </w:r>
          </w:p>
          <w:p>
            <w:pPr>
              <w:spacing w:after="40"/>
            </w:pPr>
            <w:r>
              <w:rPr>
                <w:rFonts w:ascii="Calibri" w:cs="Calibri" w:eastAsia="Calibri" w:hAnsi="Calibri"/>
                <w:i/>
                <w:iCs/>
                <w:sz w:val="15"/>
                <w:szCs w:val="15"/>
              </w:rPr>
              <w:t xml:space="preserve">Bombay High Court; Ranjit More and N.J. Jamdar JJ; Criminal Writ Petition No. 2367 of 2019; decided 22 Oct 2019; 2019 SCC OnLine Bom 3155</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The Court quashed three MHA interception orders (2009–2010) issued under s.5(2) in a bribery case. It held that there was no public emergency or public safety interest, that the orders failed the Puttaswamy proportionality and legitimacy tests, and that the PUCL/rule 419A safeguards are mandatory. It directed destruction of the intercepts, which were excluded from the trial.</w:t>
            </w:r>
          </w:p>
        </w:tc>
        <w:tc>
          <w:tcPr>
            <w:tcW w:type="dxa" w:w="4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pStyle w:val="ListParagraph"/>
              <w:numPr>
                <w:ilvl w:val="0"/>
                <w:numId w:val="3"/>
              </w:numPr>
              <w:spacing w:after="30"/>
            </w:pPr>
            <w:r>
              <w:rPr>
                <w:rFonts w:ascii="Calibri" w:cs="Calibri" w:eastAsia="Calibri" w:hAnsi="Calibri"/>
                <w:sz w:val="15"/>
                <w:szCs w:val="15"/>
              </w:rPr>
              <w:t xml:space="preserve">Para 12 (p.18): the Puttaswamy tests summarised.</w:t>
            </w:r>
          </w:p>
          <w:p>
            <w:pPr>
              <w:pStyle w:val="ListParagraph"/>
              <w:numPr>
                <w:ilvl w:val="0"/>
                <w:numId w:val="3"/>
              </w:numPr>
              <w:spacing w:after="30"/>
            </w:pPr>
            <w:r>
              <w:rPr>
                <w:rFonts w:ascii="Calibri" w:cs="Calibri" w:eastAsia="Calibri" w:hAnsi="Calibri"/>
                <w:sz w:val="15"/>
                <w:szCs w:val="15"/>
              </w:rPr>
              <w:t xml:space="preserve">Para 16 (p.21): interception may be ordered only on a public emergency or in the interest of public safety.</w:t>
            </w:r>
          </w:p>
          <w:p>
            <w:pPr>
              <w:pStyle w:val="ListParagraph"/>
              <w:numPr>
                <w:ilvl w:val="0"/>
                <w:numId w:val="3"/>
              </w:numPr>
              <w:spacing w:after="30"/>
            </w:pPr>
            <w:r>
              <w:rPr>
                <w:rFonts w:ascii="Calibri" w:cs="Calibri" w:eastAsia="Calibri" w:hAnsi="Calibri"/>
                <w:sz w:val="15"/>
                <w:szCs w:val="15"/>
              </w:rPr>
              <w:t xml:space="preserve">Paras 17–18 (p.22): these conditions are not secretive; the respondents could show no risk to the people at large.</w:t>
            </w:r>
          </w:p>
          <w:p>
            <w:pPr>
              <w:pStyle w:val="ListParagraph"/>
              <w:numPr>
                <w:ilvl w:val="0"/>
                <w:numId w:val="3"/>
              </w:numPr>
              <w:spacing w:after="30"/>
            </w:pPr>
            <w:r>
              <w:rPr>
                <w:rFonts w:ascii="Calibri" w:cs="Calibri" w:eastAsia="Calibri" w:hAnsi="Calibri"/>
                <w:sz w:val="15"/>
                <w:szCs w:val="15"/>
              </w:rPr>
              <w:t xml:space="preserve">Para 19 (p.23): the orders neither have sanction of law nor serve a legitimate aim, and fail proportionality; they are set aside.</w:t>
            </w:r>
          </w:p>
          <w:p>
            <w:pPr>
              <w:pStyle w:val="ListParagraph"/>
              <w:numPr>
                <w:ilvl w:val="0"/>
                <w:numId w:val="3"/>
              </w:numPr>
              <w:spacing w:after="30"/>
            </w:pPr>
            <w:r>
              <w:rPr>
                <w:rFonts w:ascii="Calibri" w:cs="Calibri" w:eastAsia="Calibri" w:hAnsi="Calibri"/>
                <w:sz w:val="15"/>
                <w:szCs w:val="15"/>
              </w:rPr>
              <w:t xml:space="preserve">Paras 20–21 (pp.23–24): the PUCL directions and rule 419A(17) (destruction) are mandatory.</w:t>
            </w:r>
          </w:p>
          <w:p>
            <w:pPr>
              <w:pStyle w:val="ListParagraph"/>
              <w:numPr>
                <w:ilvl w:val="0"/>
                <w:numId w:val="3"/>
              </w:numPr>
              <w:spacing w:after="30"/>
            </w:pPr>
            <w:r>
              <w:rPr>
                <w:rFonts w:ascii="Calibri" w:cs="Calibri" w:eastAsia="Calibri" w:hAnsi="Calibri"/>
                <w:sz w:val="15"/>
                <w:szCs w:val="15"/>
              </w:rPr>
              <w:t xml:space="preserve">Para 39 (p.36): flouting the PUCL directions would breed "contempt for law".</w:t>
            </w:r>
          </w:p>
          <w:p>
            <w:pPr>
              <w:pStyle w:val="ListParagraph"/>
              <w:numPr>
                <w:ilvl w:val="0"/>
                <w:numId w:val="3"/>
              </w:numPr>
              <w:spacing w:after="30"/>
            </w:pPr>
            <w:r>
              <w:rPr>
                <w:rFonts w:ascii="Calibri" w:cs="Calibri" w:eastAsia="Calibri" w:hAnsi="Calibri"/>
                <w:sz w:val="15"/>
                <w:szCs w:val="15"/>
              </w:rPr>
              <w:t xml:space="preserve">Para 40 (p.37): orders quashed; destruction directed; recordings excluded from the trial court's consideration.</w:t>
            </w:r>
          </w:p>
        </w:tc>
        <w:tc>
          <w:tcPr>
            <w:tcW w:type="dxa" w:w="24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UNDER CHALLENGE: the CBI's SLP (Crl.) No. 902/2020 is pending in the Supreme Court (records of proceedings of 6 Dec 2021 and 5 Jan 2024). A June 2020 commentary reports that the Supreme Court stayed the judgment, but the stay order itself was NOT located. Treat the judgment as persuasive, subject to the pending appeal.</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50"/>
            </w:pPr>
            <w:r>
              <w:rPr>
                <w:rFonts w:ascii="Calibri" w:cs="Calibri" w:eastAsia="Calibri" w:hAnsi="Calibri"/>
                <w:sz w:val="15"/>
                <w:szCs w:val="15"/>
              </w:rPr>
              <w:t xml:space="preserve">[P] Signed judgment (37 pp., Columbia GFoE copy): </w:t>
            </w:r>
            <w:hyperlink w:history="1" r:id="rIdwk--foufoeraqjeoh0ogk">
              <w:r>
                <w:rPr>
                  <w:rStyle w:val="Hyperlink"/>
                  <w:rFonts w:ascii="Calibri" w:cs="Calibri" w:eastAsia="Calibri" w:hAnsi="Calibri"/>
                  <w:sz w:val="14"/>
                  <w:szCs w:val="14"/>
                </w:rPr>
                <w:t xml:space="preserve">https://globalfreedomofexpression.columbia.edu/wp-content/uploads/2019/12/Official-Judgment.pdf</w:t>
              </w:r>
            </w:hyperlink>
          </w:p>
          <w:p>
            <w:pPr>
              <w:spacing w:after="50"/>
            </w:pPr>
            <w:r>
              <w:rPr>
                <w:rFonts w:ascii="Calibri" w:cs="Calibri" w:eastAsia="Calibri" w:hAnsi="Calibri"/>
                <w:sz w:val="15"/>
                <w:szCs w:val="15"/>
              </w:rPr>
              <w:t xml:space="preserve">[IK] Indian Kanoon: </w:t>
            </w:r>
            <w:hyperlink w:history="1" r:id="rId8ovogofabsgjb4qgvmwip">
              <w:r>
                <w:rPr>
                  <w:rStyle w:val="Hyperlink"/>
                  <w:rFonts w:ascii="Calibri" w:cs="Calibri" w:eastAsia="Calibri" w:hAnsi="Calibri"/>
                  <w:sz w:val="14"/>
                  <w:szCs w:val="14"/>
                </w:rPr>
                <w:t xml:space="preserve">https://indiankanoon.org/doc/107953018/</w:t>
              </w:r>
            </w:hyperlink>
          </w:p>
          <w:p>
            <w:pPr>
              <w:spacing w:after="50"/>
            </w:pPr>
            <w:r>
              <w:rPr>
                <w:rFonts w:ascii="Calibri" w:cs="Calibri" w:eastAsia="Calibri" w:hAnsi="Calibri"/>
                <w:sz w:val="15"/>
                <w:szCs w:val="15"/>
              </w:rPr>
              <w:t xml:space="preserve">[P] SC record of proceedings, 05.01.2024 (Indian Kanoon): </w:t>
            </w:r>
            <w:hyperlink w:history="1" r:id="rIdekzh9yicqxq7_vutdxnbh">
              <w:r>
                <w:rPr>
                  <w:rStyle w:val="Hyperlink"/>
                  <w:rFonts w:ascii="Calibri" w:cs="Calibri" w:eastAsia="Calibri" w:hAnsi="Calibri"/>
                  <w:sz w:val="14"/>
                  <w:szCs w:val="14"/>
                </w:rPr>
                <w:t xml:space="preserve">https://indiankanoon.org/doc/162808939/</w:t>
              </w:r>
            </w:hyperlink>
          </w:p>
          <w:p>
            <w:pPr>
              <w:spacing w:after="50"/>
            </w:pPr>
            <w:r>
              <w:rPr>
                <w:rFonts w:ascii="Calibri" w:cs="Calibri" w:eastAsia="Calibri" w:hAnsi="Calibri"/>
                <w:sz w:val="15"/>
                <w:szCs w:val="15"/>
              </w:rPr>
              <w:t xml:space="preserve">[P] SC office report, SLP (Crl) 902/2020: </w:t>
            </w:r>
            <w:hyperlink w:history="1" r:id="rIdlnfjk_t9ohzi26u0nti5z">
              <w:r>
                <w:rPr>
                  <w:rStyle w:val="Hyperlink"/>
                  <w:rFonts w:ascii="Calibri" w:cs="Calibri" w:eastAsia="Calibri" w:hAnsi="Calibri"/>
                  <w:sz w:val="14"/>
                  <w:szCs w:val="14"/>
                </w:rPr>
                <w:t xml:space="preserve">https://api.sci.gov.in/officereport/2020/1353/1353_2020_2020-02-10_195.html</w:t>
              </w:r>
            </w:hyperlink>
          </w:p>
        </w:tc>
        <w:tc>
          <w:tcPr>
            <w:tcW w:type="dxa" w:w="1248"/>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Paras 16, 18, 19, 39 and 40 match on Indian Kanoon. The correct spelling is "Vinit". The stay is reported only by secondary commentary.</w:t>
            </w:r>
          </w:p>
        </w:tc>
      </w:tr>
      <w:tr>
        <w:trPr>
          <w:cantSplit w:val="false"/>
        </w:trPr>
        <w:tc>
          <w:tcPr>
            <w:tcW w:type="dxa" w:w="26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bCs/>
                <w:sz w:val="15"/>
                <w:szCs w:val="15"/>
              </w:rPr>
              <w:t xml:space="preserve">4. Centre for Public Interest Litigation &amp; Anr. v. Union of India &amp; Ors. (Delhi High Court)</w:t>
            </w:r>
          </w:p>
          <w:p>
            <w:pPr>
              <w:spacing w:after="40"/>
            </w:pPr>
            <w:r>
              <w:rPr>
                <w:rFonts w:ascii="Calibri" w:cs="Calibri" w:eastAsia="Calibri" w:hAnsi="Calibri"/>
                <w:i/>
                <w:iCs/>
                <w:sz w:val="15"/>
                <w:szCs w:val="15"/>
              </w:rPr>
              <w:t xml:space="preserve">Delhi High Court; W.P.(C) No. 8998 of 2020 (PIL by CPIL and SFLC.in); notice issued 2 Dec 2020 (D.N. Patel CJ and Prateek Jalan J)</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Challenge to CMS, NATGRID and NETRA as enabling bulk surveillance without statutory basis or independent oversight.</w:t>
            </w:r>
          </w:p>
        </w:tc>
        <w:tc>
          <w:tcPr>
            <w:tcW w:type="dxa" w:w="4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pStyle w:val="ListParagraph"/>
              <w:numPr>
                <w:ilvl w:val="0"/>
                <w:numId w:val="3"/>
              </w:numPr>
              <w:spacing w:after="30"/>
            </w:pPr>
            <w:r>
              <w:rPr>
                <w:rFonts w:ascii="Calibri" w:cs="Calibri" w:eastAsia="Calibri" w:hAnsi="Calibri"/>
                <w:sz w:val="15"/>
                <w:szCs w:val="15"/>
              </w:rPr>
              <w:t xml:space="preserve">No judgment on the merits; orders only.</w:t>
            </w:r>
          </w:p>
          <w:p>
            <w:pPr>
              <w:pStyle w:val="ListParagraph"/>
              <w:numPr>
                <w:ilvl w:val="0"/>
                <w:numId w:val="3"/>
              </w:numPr>
              <w:spacing w:after="30"/>
            </w:pPr>
            <w:r>
              <w:rPr>
                <w:rFonts w:ascii="Calibri" w:cs="Calibri" w:eastAsia="Calibri" w:hAnsi="Calibri"/>
                <w:sz w:val="15"/>
                <w:szCs w:val="15"/>
              </w:rPr>
              <w:t xml:space="preserve">Order of 02.12.2020: notice issued; the Union of India was given three weeks to file a counter affidavit.</w:t>
            </w:r>
          </w:p>
          <w:p>
            <w:pPr>
              <w:pStyle w:val="ListParagraph"/>
              <w:numPr>
                <w:ilvl w:val="0"/>
                <w:numId w:val="3"/>
              </w:numPr>
              <w:spacing w:after="30"/>
            </w:pPr>
            <w:r>
              <w:rPr>
                <w:rFonts w:ascii="Calibri" w:cs="Calibri" w:eastAsia="Calibri" w:hAnsi="Calibri"/>
                <w:sz w:val="15"/>
                <w:szCs w:val="15"/>
              </w:rPr>
              <w:t xml:space="preserve">Order of 01.04.2025 (Upadhyaya CJ and Gedela J), paras 2–3: records the Supreme Court's order of 19.03.2025 transferring the petition to the Supreme Court, and directs transmission of the record.</w:t>
            </w:r>
          </w:p>
        </w:tc>
        <w:tc>
          <w:tcPr>
            <w:tcW w:type="dxa" w:w="24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TRANSFERRED to the Supreme Court on 19 Mar 2025, to be heard with W.P.(C) Nos. 61 and 13 of 2019 (see the next row). No decision on the merits.</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50"/>
            </w:pPr>
            <w:r>
              <w:rPr>
                <w:rFonts w:ascii="Calibri" w:cs="Calibri" w:eastAsia="Calibri" w:hAnsi="Calibri"/>
                <w:sz w:val="15"/>
                <w:szCs w:val="15"/>
              </w:rPr>
              <w:t xml:space="preserve">[P] DHC order 02.12.2020 (Indian Kanoon): </w:t>
            </w:r>
            <w:hyperlink w:history="1" r:id="rIdjavstnyj2hwi1xqebwf3k">
              <w:r>
                <w:rPr>
                  <w:rStyle w:val="Hyperlink"/>
                  <w:rFonts w:ascii="Calibri" w:cs="Calibri" w:eastAsia="Calibri" w:hAnsi="Calibri"/>
                  <w:sz w:val="14"/>
                  <w:szCs w:val="14"/>
                </w:rPr>
                <w:t xml:space="preserve">https://indiankanoon.org/doc/180071189/</w:t>
              </w:r>
            </w:hyperlink>
          </w:p>
          <w:p>
            <w:pPr>
              <w:spacing w:after="50"/>
            </w:pPr>
            <w:r>
              <w:rPr>
                <w:rFonts w:ascii="Calibri" w:cs="Calibri" w:eastAsia="Calibri" w:hAnsi="Calibri"/>
                <w:sz w:val="15"/>
                <w:szCs w:val="15"/>
              </w:rPr>
              <w:t xml:space="preserve">[P] DHC order 01.04.2025 (Indian Kanoon): </w:t>
            </w:r>
            <w:hyperlink w:history="1" r:id="rId06ybztgn8ynt26puqwnap">
              <w:r>
                <w:rPr>
                  <w:rStyle w:val="Hyperlink"/>
                  <w:rFonts w:ascii="Calibri" w:cs="Calibri" w:eastAsia="Calibri" w:hAnsi="Calibri"/>
                  <w:sz w:val="14"/>
                  <w:szCs w:val="14"/>
                </w:rPr>
                <w:t xml:space="preserve">https://indiankanoon.org/doc/31142618/</w:t>
              </w:r>
            </w:hyperlink>
          </w:p>
        </w:tc>
        <w:tc>
          <w:tcPr>
            <w:tcW w:type="dxa" w:w="1248"/>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The case number is confirmed from the digitally signed Delhi High Court orders. The petitioner's name is spelled "Centre".</w:t>
            </w:r>
          </w:p>
        </w:tc>
      </w:tr>
      <w:tr>
        <w:trPr>
          <w:cantSplit w:val="false"/>
        </w:trPr>
        <w:tc>
          <w:tcPr>
            <w:tcW w:type="dxa" w:w="26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bCs/>
                <w:sz w:val="15"/>
                <w:szCs w:val="15"/>
              </w:rPr>
              <w:t xml:space="preserve">5. Centre for Public Interest Litigation &amp; Anr. v. Union of India &amp; Ors. (Transfer Petition)</w:t>
            </w:r>
          </w:p>
          <w:p>
            <w:pPr>
              <w:spacing w:after="40"/>
            </w:pPr>
            <w:r>
              <w:rPr>
                <w:rFonts w:ascii="Calibri" w:cs="Calibri" w:eastAsia="Calibri" w:hAnsi="Calibri"/>
                <w:i/>
                <w:iCs/>
                <w:sz w:val="15"/>
                <w:szCs w:val="15"/>
              </w:rPr>
              <w:t xml:space="preserve">Supreme Court; Transfer Petition (Civil) No. 2567 of 2023</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Transfer of the CMS/NATGRID/NETRA challenge to the Supreme Court.</w:t>
            </w:r>
          </w:p>
        </w:tc>
        <w:tc>
          <w:tcPr>
            <w:tcW w:type="dxa" w:w="4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pStyle w:val="ListParagraph"/>
              <w:numPr>
                <w:ilvl w:val="0"/>
                <w:numId w:val="3"/>
              </w:numPr>
              <w:spacing w:after="30"/>
            </w:pPr>
            <w:r>
              <w:rPr>
                <w:rFonts w:ascii="Calibri" w:cs="Calibri" w:eastAsia="Calibri" w:hAnsi="Calibri"/>
                <w:sz w:val="15"/>
                <w:szCs w:val="15"/>
              </w:rPr>
              <w:t xml:space="preserve">Record of proceedings 10.10.2023 (Gavai and P.K. Mishra JJ): "Issue notice, returnable in four weeks."</w:t>
            </w:r>
          </w:p>
          <w:p>
            <w:pPr>
              <w:pStyle w:val="ListParagraph"/>
              <w:numPr>
                <w:ilvl w:val="0"/>
                <w:numId w:val="3"/>
              </w:numPr>
              <w:spacing w:after="30"/>
            </w:pPr>
            <w:r>
              <w:rPr>
                <w:rFonts w:ascii="Calibri" w:cs="Calibri" w:eastAsia="Calibri" w:hAnsi="Calibri"/>
                <w:sz w:val="15"/>
                <w:szCs w:val="15"/>
              </w:rPr>
              <w:t xml:space="preserve">Order of 19.03.2025 (Gavai and Masih JJ), paras 2–4: grounds accepted; W.P.(C) 8998/2020 transferred to be heard with W.P.(C) Nos. 61/2019 and 13/2019; transfer petition allowed.</w:t>
            </w:r>
          </w:p>
        </w:tc>
        <w:tc>
          <w:tcPr>
            <w:tcW w:type="dxa" w:w="24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ALLOWED on 19 Mar 2025. The transferred writ petition is pending before the Supreme Court. The subject matter of W.P.(C) Nos. 61/2019 and 13/2019 was not verified.</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50"/>
            </w:pPr>
            <w:r>
              <w:rPr>
                <w:rFonts w:ascii="Calibri" w:cs="Calibri" w:eastAsia="Calibri" w:hAnsi="Calibri"/>
                <w:sz w:val="15"/>
                <w:szCs w:val="15"/>
              </w:rPr>
              <w:t xml:space="preserve">[P] SC ROP 10.10.2023 (Indian Kanoon): </w:t>
            </w:r>
            <w:hyperlink w:history="1" r:id="rIddi4pwgxs72lgvsrpwspba">
              <w:r>
                <w:rPr>
                  <w:rStyle w:val="Hyperlink"/>
                  <w:rFonts w:ascii="Calibri" w:cs="Calibri" w:eastAsia="Calibri" w:hAnsi="Calibri"/>
                  <w:sz w:val="14"/>
                  <w:szCs w:val="14"/>
                </w:rPr>
                <w:t xml:space="preserve">https://indiankanoon.org/doc/61475422/</w:t>
              </w:r>
            </w:hyperlink>
          </w:p>
          <w:p>
            <w:pPr>
              <w:spacing w:after="50"/>
            </w:pPr>
            <w:r>
              <w:rPr>
                <w:rFonts w:ascii="Calibri" w:cs="Calibri" w:eastAsia="Calibri" w:hAnsi="Calibri"/>
                <w:sz w:val="15"/>
                <w:szCs w:val="15"/>
              </w:rPr>
              <w:t xml:space="preserve">[P] SC order 19.03.2025 (Indian Kanoon): </w:t>
            </w:r>
            <w:hyperlink w:history="1" r:id="rId7cu7wpa-my_yjdi_l79fp">
              <w:r>
                <w:rPr>
                  <w:rStyle w:val="Hyperlink"/>
                  <w:rFonts w:ascii="Calibri" w:cs="Calibri" w:eastAsia="Calibri" w:hAnsi="Calibri"/>
                  <w:sz w:val="14"/>
                  <w:szCs w:val="14"/>
                </w:rPr>
                <w:t xml:space="preserve">https://indiankanoon.org/doc/20444095/</w:t>
              </w:r>
            </w:hyperlink>
          </w:p>
        </w:tc>
        <w:tc>
          <w:tcPr>
            <w:tcW w:type="dxa" w:w="1248"/>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The transfer petition number given in the DTIA paragraph ("002567 of 2023") is CORRECT and confirmed from the signed Supreme Court orders.</w:t>
            </w:r>
          </w:p>
        </w:tc>
      </w:tr>
      <w:tr>
        <w:trPr>
          <w:cantSplit w:val="false"/>
        </w:trPr>
        <w:tc>
          <w:tcPr>
            <w:tcW w:type="dxa" w:w="26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bCs/>
                <w:sz w:val="15"/>
                <w:szCs w:val="15"/>
              </w:rPr>
              <w:t xml:space="preserve">6. Manohar Lal Sharma v. Union of India &amp; Ors. (Pegasus)</w:t>
            </w:r>
          </w:p>
          <w:p>
            <w:pPr>
              <w:spacing w:after="40"/>
            </w:pPr>
            <w:r>
              <w:rPr>
                <w:rFonts w:ascii="Calibri" w:cs="Calibri" w:eastAsia="Calibri" w:hAnsi="Calibri"/>
                <w:i/>
                <w:iCs/>
                <w:sz w:val="15"/>
                <w:szCs w:val="15"/>
              </w:rPr>
              <w:t xml:space="preserve">Supreme Court; N.V. Ramana CJI, Surya Kant and Hima Kohli JJ; W.P.(Crl.) No. 314 of 2021 with connected matters; order dated 27 Oct 2021</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Allegations of Pegasus spyware use. The Court held that the State does not get a "free pass" whenever national security is raised, rejected the Union's offer to appoint its own committee, and appointed a court-supervised Technical Committee overseen by Justice R.V. Raveendran.</w:t>
            </w:r>
          </w:p>
        </w:tc>
        <w:tc>
          <w:tcPr>
            <w:tcW w:type="dxa" w:w="4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pStyle w:val="ListParagraph"/>
              <w:numPr>
                <w:ilvl w:val="0"/>
                <w:numId w:val="3"/>
              </w:numPr>
              <w:spacing w:after="30"/>
            </w:pPr>
            <w:r>
              <w:rPr>
                <w:rFonts w:ascii="Calibri" w:cs="Calibri" w:eastAsia="Calibri" w:hAnsi="Calibri"/>
                <w:sz w:val="15"/>
                <w:szCs w:val="15"/>
              </w:rPr>
              <w:t xml:space="preserve">Para 35 (PDF p.22): surveillance or spying directly infringes privacy.</w:t>
            </w:r>
          </w:p>
          <w:p>
            <w:pPr>
              <w:pStyle w:val="ListParagraph"/>
              <w:numPr>
                <w:ilvl w:val="0"/>
                <w:numId w:val="3"/>
              </w:numPr>
              <w:spacing w:after="30"/>
            </w:pPr>
            <w:r>
              <w:rPr>
                <w:rFonts w:ascii="Calibri" w:cs="Calibri" w:eastAsia="Calibri" w:hAnsi="Calibri"/>
                <w:sz w:val="15"/>
                <w:szCs w:val="15"/>
              </w:rPr>
              <w:t xml:space="preserve">Para 36 (PDF p.22): State surveillance must be justified on constitutional grounds.</w:t>
            </w:r>
          </w:p>
          <w:p>
            <w:pPr>
              <w:pStyle w:val="ListParagraph"/>
              <w:numPr>
                <w:ilvl w:val="0"/>
                <w:numId w:val="3"/>
              </w:numPr>
              <w:spacing w:after="30"/>
            </w:pPr>
            <w:r>
              <w:rPr>
                <w:rFonts w:ascii="Calibri" w:cs="Calibri" w:eastAsia="Calibri" w:hAnsi="Calibri"/>
                <w:sz w:val="15"/>
                <w:szCs w:val="15"/>
              </w:rPr>
              <w:t xml:space="preserve">Para 39 (PDF p.24): chilling effect of surveillance.</w:t>
            </w:r>
          </w:p>
          <w:p>
            <w:pPr>
              <w:pStyle w:val="ListParagraph"/>
              <w:numPr>
                <w:ilvl w:val="0"/>
                <w:numId w:val="3"/>
              </w:numPr>
              <w:spacing w:after="30"/>
            </w:pPr>
            <w:r>
              <w:rPr>
                <w:rFonts w:ascii="Calibri" w:cs="Calibri" w:eastAsia="Calibri" w:hAnsi="Calibri"/>
                <w:sz w:val="15"/>
                <w:szCs w:val="15"/>
              </w:rPr>
              <w:t xml:space="preserve">Para 49 (PDF p.33): the State does not get "a free pass every time the spectre of 'national security' is raised".</w:t>
            </w:r>
          </w:p>
          <w:p>
            <w:pPr>
              <w:pStyle w:val="ListParagraph"/>
              <w:numPr>
                <w:ilvl w:val="0"/>
                <w:numId w:val="3"/>
              </w:numPr>
              <w:spacing w:after="30"/>
            </w:pPr>
            <w:r>
              <w:rPr>
                <w:rFonts w:ascii="Calibri" w:cs="Calibri" w:eastAsia="Calibri" w:hAnsi="Calibri"/>
                <w:sz w:val="15"/>
                <w:szCs w:val="15"/>
              </w:rPr>
              <w:t xml:space="preserve">Para 50 (PDF pp.33–34): the Union may decline to provide information on security grounds, but must specifically plead and prove this on affidavit.</w:t>
            </w:r>
          </w:p>
          <w:p>
            <w:pPr>
              <w:pStyle w:val="ListParagraph"/>
              <w:numPr>
                <w:ilvl w:val="0"/>
                <w:numId w:val="3"/>
              </w:numPr>
              <w:spacing w:after="30"/>
            </w:pPr>
            <w:r>
              <w:rPr>
                <w:rFonts w:ascii="Calibri" w:cs="Calibri" w:eastAsia="Calibri" w:hAnsi="Calibri"/>
                <w:sz w:val="15"/>
                <w:szCs w:val="15"/>
              </w:rPr>
              <w:t xml:space="preserve">Para 51 (PDF p.34): an omnibus, vague "limited affidavit" is insufficient.</w:t>
            </w:r>
          </w:p>
          <w:p>
            <w:pPr>
              <w:pStyle w:val="ListParagraph"/>
              <w:numPr>
                <w:ilvl w:val="0"/>
                <w:numId w:val="3"/>
              </w:numPr>
              <w:spacing w:after="30"/>
            </w:pPr>
            <w:r>
              <w:rPr>
                <w:rFonts w:ascii="Calibri" w:cs="Calibri" w:eastAsia="Calibri" w:hAnsi="Calibri"/>
                <w:sz w:val="15"/>
                <w:szCs w:val="15"/>
              </w:rPr>
              <w:t xml:space="preserve">Para 55 (PDF p.36): the Court appoints an Expert Committee overseen by a retired Supreme Court judge.</w:t>
            </w:r>
          </w:p>
          <w:p>
            <w:pPr>
              <w:pStyle w:val="ListParagraph"/>
              <w:numPr>
                <w:ilvl w:val="0"/>
                <w:numId w:val="3"/>
              </w:numPr>
              <w:spacing w:after="30"/>
            </w:pPr>
            <w:r>
              <w:rPr>
                <w:rFonts w:ascii="Calibri" w:cs="Calibri" w:eastAsia="Calibri" w:hAnsi="Calibri"/>
                <w:sz w:val="15"/>
                <w:szCs w:val="15"/>
              </w:rPr>
              <w:t xml:space="preserve">Para 56 (PDF p.37): compelling circumstances for that course.</w:t>
            </w:r>
          </w:p>
          <w:p>
            <w:pPr>
              <w:pStyle w:val="ListParagraph"/>
              <w:numPr>
                <w:ilvl w:val="0"/>
                <w:numId w:val="3"/>
              </w:numPr>
              <w:spacing w:after="30"/>
            </w:pPr>
            <w:r>
              <w:rPr>
                <w:rFonts w:ascii="Calibri" w:cs="Calibri" w:eastAsia="Calibri" w:hAnsi="Calibri"/>
                <w:sz w:val="15"/>
                <w:szCs w:val="15"/>
              </w:rPr>
              <w:t xml:space="preserve">Para 57 (PDF p.38): the Court declines the Union's plea to appoint its own committee (principle against bias).</w:t>
            </w:r>
          </w:p>
          <w:p>
            <w:pPr>
              <w:pStyle w:val="ListParagraph"/>
              <w:numPr>
                <w:ilvl w:val="0"/>
                <w:numId w:val="3"/>
              </w:numPr>
              <w:spacing w:after="30"/>
            </w:pPr>
            <w:r>
              <w:rPr>
                <w:rFonts w:ascii="Calibri" w:cs="Calibri" w:eastAsia="Calibri" w:hAnsi="Calibri"/>
                <w:sz w:val="15"/>
                <w:szCs w:val="15"/>
              </w:rPr>
              <w:t xml:space="preserve">Paras 59–61 (PDF pp.39–42): composition and terms of reference of the committee.</w:t>
            </w:r>
          </w:p>
          <w:p>
            <w:pPr>
              <w:pStyle w:val="ListParagraph"/>
              <w:numPr>
                <w:ilvl w:val="0"/>
                <w:numId w:val="3"/>
              </w:numPr>
              <w:spacing w:after="30"/>
            </w:pPr>
            <w:r>
              <w:rPr>
                <w:rFonts w:ascii="Calibri" w:cs="Calibri" w:eastAsia="Calibri" w:hAnsi="Calibri"/>
                <w:sz w:val="15"/>
                <w:szCs w:val="15"/>
              </w:rPr>
              <w:t xml:space="preserve">Para 62 (PDF p.44): procedure; Justice Raveendran to oversee.</w:t>
            </w:r>
          </w:p>
        </w:tc>
        <w:tc>
          <w:tcPr>
            <w:tcW w:type="dxa" w:w="24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PENDING. ROP 25.08.2022: the reports of the Technical Committee and the Overseeing Judge were received in sealed cover and taken on record. ROP 22.04.2025: listed for 29.04.2025. The reported finding of malware on 5 of 29 phones, and the statement on 29.04.2025 that the report would not be made public, come from press reports, not from a located signed order.</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50"/>
            </w:pPr>
            <w:r>
              <w:rPr>
                <w:rFonts w:ascii="Calibri" w:cs="Calibri" w:eastAsia="Calibri" w:hAnsi="Calibri"/>
                <w:sz w:val="15"/>
                <w:szCs w:val="15"/>
              </w:rPr>
              <w:t xml:space="preserve">[P] Official order (SC, 46 pp.): </w:t>
            </w:r>
            <w:hyperlink w:history="1" r:id="rIdufea_fcpa6og0q8ihdgux">
              <w:r>
                <w:rPr>
                  <w:rStyle w:val="Hyperlink"/>
                  <w:rFonts w:ascii="Calibri" w:cs="Calibri" w:eastAsia="Calibri" w:hAnsi="Calibri"/>
                  <w:sz w:val="14"/>
                  <w:szCs w:val="14"/>
                </w:rPr>
                <w:t xml:space="preserve">https://api.sci.gov.in/supremecourt/2021/16884/16884_2021_1_1501_30827_Judgement_27-Oct-2021.pdf</w:t>
              </w:r>
            </w:hyperlink>
          </w:p>
          <w:p>
            <w:pPr>
              <w:spacing w:after="50"/>
            </w:pPr>
            <w:r>
              <w:rPr>
                <w:rFonts w:ascii="Calibri" w:cs="Calibri" w:eastAsia="Calibri" w:hAnsi="Calibri"/>
                <w:sz w:val="15"/>
                <w:szCs w:val="15"/>
              </w:rPr>
              <w:t xml:space="preserve">[IK] Indian Kanoon: </w:t>
            </w:r>
            <w:hyperlink w:history="1" r:id="rIddkrnz-gy1l5peepmva4ky">
              <w:r>
                <w:rPr>
                  <w:rStyle w:val="Hyperlink"/>
                  <w:rFonts w:ascii="Calibri" w:cs="Calibri" w:eastAsia="Calibri" w:hAnsi="Calibri"/>
                  <w:sz w:val="14"/>
                  <w:szCs w:val="14"/>
                </w:rPr>
                <w:t xml:space="preserve">https://indiankanoon.org/doc/39021018/</w:t>
              </w:r>
            </w:hyperlink>
          </w:p>
          <w:p>
            <w:pPr>
              <w:spacing w:after="50"/>
            </w:pPr>
            <w:r>
              <w:rPr>
                <w:rFonts w:ascii="Calibri" w:cs="Calibri" w:eastAsia="Calibri" w:hAnsi="Calibri"/>
                <w:sz w:val="15"/>
                <w:szCs w:val="15"/>
              </w:rPr>
              <w:t xml:space="preserve">[P] ROP 25.08.2022 (Indian Kanoon): </w:t>
            </w:r>
            <w:hyperlink w:history="1" r:id="rId9ofd668geczrs5gjklnl8">
              <w:r>
                <w:rPr>
                  <w:rStyle w:val="Hyperlink"/>
                  <w:rFonts w:ascii="Calibri" w:cs="Calibri" w:eastAsia="Calibri" w:hAnsi="Calibri"/>
                  <w:sz w:val="14"/>
                  <w:szCs w:val="14"/>
                </w:rPr>
                <w:t xml:space="preserve">https://indiankanoon.org/doc/117902715/</w:t>
              </w:r>
            </w:hyperlink>
          </w:p>
          <w:p>
            <w:pPr>
              <w:spacing w:after="50"/>
            </w:pPr>
            <w:r>
              <w:rPr>
                <w:rFonts w:ascii="Calibri" w:cs="Calibri" w:eastAsia="Calibri" w:hAnsi="Calibri"/>
                <w:sz w:val="15"/>
                <w:szCs w:val="15"/>
              </w:rPr>
              <w:t xml:space="preserve">[P] ROP 22.04.2025 (Indian Kanoon): </w:t>
            </w:r>
            <w:hyperlink w:history="1" r:id="rIdlrljtdkgwchcx1dzovcxx">
              <w:r>
                <w:rPr>
                  <w:rStyle w:val="Hyperlink"/>
                  <w:rFonts w:ascii="Calibri" w:cs="Calibri" w:eastAsia="Calibri" w:hAnsi="Calibri"/>
                  <w:sz w:val="14"/>
                  <w:szCs w:val="14"/>
                </w:rPr>
                <w:t xml:space="preserve">https://indiankanoon.org/doc/96841127/</w:t>
              </w:r>
            </w:hyperlink>
          </w:p>
        </w:tc>
        <w:tc>
          <w:tcPr>
            <w:tcW w:type="dxa" w:w="1248"/>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Paras 35, 39, 49, 50, 51, 55, 56, 57 and 61 match on Indian Kanoon. Para 62 is unnumbered on Indian Kanoon; cite the official PDF for it.</w:t>
            </w:r>
          </w:p>
        </w:tc>
      </w:tr>
    </w:tbl>
    <w:p>
      <w:pPr>
        <w:pStyle w:val="Heading2"/>
        <w:spacing w:after="100" w:before="200"/>
      </w:pPr>
      <w:r>
        <w:rPr>
          <w:rFonts w:ascii="Calibri" w:cs="Calibri" w:eastAsia="Calibri" w:hAnsi="Calibri"/>
        </w:rPr>
        <w:t xml:space="preserve">Part B: Cases and proceedings added during the verification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50"/>
        <w:gridCol w:w="2350"/>
        <w:gridCol w:w="4350"/>
        <w:gridCol w:w="2450"/>
        <w:gridCol w:w="2350"/>
        <w:gridCol w:w="1248"/>
      </w:tblGrid>
      <w:tr>
        <w:trPr>
          <w:tblHeader/>
        </w:trPr>
        <w:tc>
          <w:tcPr>
            <w:tcW w:type="dxa" w:w="265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Calibri" w:cs="Calibri" w:eastAsia="Calibri" w:hAnsi="Calibri"/>
                <w:b/>
                <w:bCs/>
                <w:sz w:val="15"/>
                <w:szCs w:val="15"/>
              </w:rPr>
              <w:t xml:space="preserve">Case, court, number, date, citation</w:t>
            </w:r>
          </w:p>
        </w:tc>
        <w:tc>
          <w:tcPr>
            <w:tcW w:type="dxa" w:w="235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Calibri" w:cs="Calibri" w:eastAsia="Calibri" w:hAnsi="Calibri"/>
                <w:b/>
                <w:bCs/>
                <w:sz w:val="15"/>
                <w:szCs w:val="15"/>
              </w:rPr>
              <w:t xml:space="preserve">Proposition relevant to the DTIA</w:t>
            </w:r>
          </w:p>
        </w:tc>
        <w:tc>
          <w:tcPr>
            <w:tcW w:type="dxa" w:w="435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Calibri" w:cs="Calibri" w:eastAsia="Calibri" w:hAnsi="Calibri"/>
                <w:b/>
                <w:bCs/>
                <w:sz w:val="15"/>
                <w:szCs w:val="15"/>
              </w:rPr>
              <w:t xml:space="preserve">Pinpoint paragraphs (and page of the free PDF)</w:t>
            </w:r>
          </w:p>
        </w:tc>
        <w:tc>
          <w:tcPr>
            <w:tcW w:type="dxa" w:w="245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Calibri" w:cs="Calibri" w:eastAsia="Calibri" w:hAnsi="Calibri"/>
                <w:b/>
                <w:bCs/>
                <w:sz w:val="15"/>
                <w:szCs w:val="15"/>
              </w:rPr>
              <w:t xml:space="preserve">Status as at 30 Oct 2026 / subsequent history</w:t>
            </w:r>
          </w:p>
        </w:tc>
        <w:tc>
          <w:tcPr>
            <w:tcW w:type="dxa" w:w="235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Calibri" w:cs="Calibri" w:eastAsia="Calibri" w:hAnsi="Calibri"/>
                <w:b/>
                <w:bCs/>
                <w:sz w:val="15"/>
                <w:szCs w:val="15"/>
              </w:rPr>
              <w:t xml:space="preserve">Free sources ([P] primary, [IK] Indian Kanoon, [S] secondary)</w:t>
            </w:r>
          </w:p>
        </w:tc>
        <w:tc>
          <w:tcPr>
            <w:tcW w:type="dxa" w:w="1248"/>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Calibri" w:cs="Calibri" w:eastAsia="Calibri" w:hAnsi="Calibri"/>
                <w:b/>
                <w:bCs/>
                <w:sz w:val="15"/>
                <w:szCs w:val="15"/>
              </w:rPr>
              <w:t xml:space="preserve">Cross-check note</w:t>
            </w:r>
          </w:p>
        </w:tc>
      </w:tr>
      <w:tr>
        <w:trPr>
          <w:cantSplit w:val="false"/>
        </w:trPr>
        <w:tc>
          <w:tcPr>
            <w:tcW w:type="dxa" w:w="26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bCs/>
                <w:sz w:val="15"/>
                <w:szCs w:val="15"/>
              </w:rPr>
              <w:t xml:space="preserve">7. Justice K.S. Puttaswamy (Retd.) &amp; Anr. v. Union of India &amp; Ors. (Aadhaar)</w:t>
            </w:r>
          </w:p>
          <w:p>
            <w:pPr>
              <w:spacing w:after="40"/>
            </w:pPr>
            <w:r>
              <w:rPr>
                <w:rFonts w:ascii="Calibri" w:cs="Calibri" w:eastAsia="Calibri" w:hAnsi="Calibri"/>
                <w:i/>
                <w:iCs/>
                <w:sz w:val="15"/>
                <w:szCs w:val="15"/>
              </w:rPr>
              <w:t xml:space="preserve">Supreme Court; five-judge bench (majority opinion by A.K. Sikri J); W.P.(C) No. 494 of 2012 and connected matters; decided 26 Sep 2018; (2019) 1 SCC 1</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Four-part proportionality test. Struck down s.33(2) of the Aadhaar Act, which allowed disclosure in the interest of national security on the direction of a Joint Secretary without adequate safeguards.</w:t>
            </w:r>
          </w:p>
        </w:tc>
        <w:tc>
          <w:tcPr>
            <w:tcW w:type="dxa" w:w="4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pStyle w:val="ListParagraph"/>
              <w:numPr>
                <w:ilvl w:val="0"/>
                <w:numId w:val="3"/>
              </w:numPr>
              <w:spacing w:after="30"/>
            </w:pPr>
            <w:r>
              <w:rPr>
                <w:rFonts w:ascii="Calibri" w:cs="Calibri" w:eastAsia="Calibri" w:hAnsi="Calibri"/>
                <w:sz w:val="15"/>
                <w:szCs w:val="15"/>
              </w:rPr>
              <w:t xml:space="preserve">Para 217 (PDF p.292): the argument that s.33(2) lacks judicial review.</w:t>
            </w:r>
          </w:p>
          <w:p>
            <w:pPr>
              <w:pStyle w:val="ListParagraph"/>
              <w:numPr>
                <w:ilvl w:val="0"/>
                <w:numId w:val="3"/>
              </w:numPr>
              <w:spacing w:after="30"/>
            </w:pPr>
            <w:r>
              <w:rPr>
                <w:rFonts w:ascii="Calibri" w:cs="Calibri" w:eastAsia="Calibri" w:hAnsi="Calibri"/>
                <w:sz w:val="15"/>
                <w:szCs w:val="15"/>
              </w:rPr>
              <w:t xml:space="preserve">Para 219(d) (PDF p.293): s.33(2) "in the present form... is struck down".</w:t>
            </w:r>
          </w:p>
          <w:p>
            <w:pPr>
              <w:pStyle w:val="ListParagraph"/>
              <w:numPr>
                <w:ilvl w:val="0"/>
                <w:numId w:val="3"/>
              </w:numPr>
              <w:spacing w:after="30"/>
            </w:pPr>
            <w:r>
              <w:rPr>
                <w:rFonts w:ascii="Calibri" w:cs="Calibri" w:eastAsia="Calibri" w:hAnsi="Calibri"/>
                <w:sz w:val="15"/>
                <w:szCs w:val="15"/>
              </w:rPr>
              <w:t xml:space="preserve">Para 267 (PDF p.342): four sub-components of proportionality (legitimate goal; suitability; necessity; balancing).</w:t>
            </w:r>
          </w:p>
          <w:p>
            <w:pPr>
              <w:pStyle w:val="ListParagraph"/>
              <w:numPr>
                <w:ilvl w:val="0"/>
                <w:numId w:val="3"/>
              </w:numPr>
              <w:spacing w:after="30"/>
            </w:pPr>
            <w:r>
              <w:rPr>
                <w:rFonts w:ascii="Calibri" w:cs="Calibri" w:eastAsia="Calibri" w:hAnsi="Calibri"/>
                <w:sz w:val="15"/>
                <w:szCs w:val="15"/>
              </w:rPr>
              <w:t xml:space="preserve">Para 447, item (iv) (PDF p.545): s.33(2) struck down, in the summary of conclusions.</w:t>
            </w:r>
          </w:p>
        </w:tc>
        <w:tc>
          <w:tcPr>
            <w:tcW w:type="dxa" w:w="24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Good law.</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50"/>
            </w:pPr>
            <w:r>
              <w:rPr>
                <w:rFonts w:ascii="Calibri" w:cs="Calibri" w:eastAsia="Calibri" w:hAnsi="Calibri"/>
                <w:sz w:val="15"/>
                <w:szCs w:val="15"/>
              </w:rPr>
              <w:t xml:space="preserve">[P] Official judgment (SC, 1448 pp.): </w:t>
            </w:r>
            <w:hyperlink w:history="1" r:id="rIdmu6r9tzyvcmgg1sve8_xz">
              <w:r>
                <w:rPr>
                  <w:rStyle w:val="Hyperlink"/>
                  <w:rFonts w:ascii="Calibri" w:cs="Calibri" w:eastAsia="Calibri" w:hAnsi="Calibri"/>
                  <w:sz w:val="14"/>
                  <w:szCs w:val="14"/>
                </w:rPr>
                <w:t xml:space="preserve">https://api.sci.gov.in/supremecourt/2012/35071/35071_2012_Judgement_26-Sep-2018.pdf</w:t>
              </w:r>
            </w:hyperlink>
          </w:p>
          <w:p>
            <w:pPr>
              <w:spacing w:after="50"/>
            </w:pPr>
            <w:r>
              <w:rPr>
                <w:rFonts w:ascii="Calibri" w:cs="Calibri" w:eastAsia="Calibri" w:hAnsi="Calibri"/>
                <w:sz w:val="15"/>
                <w:szCs w:val="15"/>
              </w:rPr>
              <w:t xml:space="preserve">[IK] Indian Kanoon: </w:t>
            </w:r>
            <w:hyperlink w:history="1" r:id="rIdw6aanf0zw95vkjqxkum-u">
              <w:r>
                <w:rPr>
                  <w:rStyle w:val="Hyperlink"/>
                  <w:rFonts w:ascii="Calibri" w:cs="Calibri" w:eastAsia="Calibri" w:hAnsi="Calibri"/>
                  <w:sz w:val="14"/>
                  <w:szCs w:val="14"/>
                </w:rPr>
                <w:t xml:space="preserve">https://indiankanoon.org/doc/127517806/</w:t>
              </w:r>
            </w:hyperlink>
          </w:p>
        </w:tc>
        <w:tc>
          <w:tcPr>
            <w:tcW w:type="dxa" w:w="1248"/>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Text confirmed on Indian Kanoon. The internal page labels of Sikri J's opinion ("x of 567") coincide with the PDF page numbers cited.</w:t>
            </w:r>
          </w:p>
        </w:tc>
      </w:tr>
      <w:tr>
        <w:trPr>
          <w:cantSplit w:val="false"/>
        </w:trPr>
        <w:tc>
          <w:tcPr>
            <w:tcW w:type="dxa" w:w="26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bCs/>
                <w:sz w:val="15"/>
                <w:szCs w:val="15"/>
              </w:rPr>
              <w:t xml:space="preserve">8. In Re: Summoning Advocates who give legal opinion or represent parties during investigation of cases and related issues</w:t>
            </w:r>
          </w:p>
          <w:p>
            <w:pPr>
              <w:spacing w:after="40"/>
            </w:pPr>
            <w:r>
              <w:rPr>
                <w:rFonts w:ascii="Calibri" w:cs="Calibri" w:eastAsia="Calibri" w:hAnsi="Calibri"/>
                <w:i/>
                <w:iCs/>
                <w:sz w:val="15"/>
                <w:szCs w:val="15"/>
              </w:rPr>
              <w:t xml:space="preserve">Supreme Court; B.R. Gavai CJI, K. Vinod Chandran and N.V. Anjaria JJ (judgment by K. Vinod Chandran J); Suo Motu W.P.(Crl.) No. 2 of 2025 with W.P.(C) 632/2025 and SLP(Crl.) 9334/2025; decided 31 Oct 2025; 2025 INSC 1275</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Advocate–client privilege under BSA s.132. An advocate may be summoned only within the statutory exceptions, with SP-level approval and subject to judicial review. Documents held by an advocate are not privileged. Digital devices are to be produced only before the jurisdictional court. In-house counsel are excluded from s.132.</w:t>
            </w:r>
          </w:p>
        </w:tc>
        <w:tc>
          <w:tcPr>
            <w:tcW w:type="dxa" w:w="4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pStyle w:val="ListParagraph"/>
              <w:numPr>
                <w:ilvl w:val="0"/>
                <w:numId w:val="3"/>
              </w:numPr>
              <w:spacing w:after="30"/>
            </w:pPr>
            <w:r>
              <w:rPr>
                <w:rFonts w:ascii="Calibri" w:cs="Calibri" w:eastAsia="Calibri" w:hAnsi="Calibri"/>
                <w:sz w:val="15"/>
                <w:szCs w:val="15"/>
              </w:rPr>
              <w:t xml:space="preserve">Para 10 (p.10): s.132 obliges absolute confidentiality.</w:t>
            </w:r>
          </w:p>
          <w:p>
            <w:pPr>
              <w:pStyle w:val="ListParagraph"/>
              <w:numPr>
                <w:ilvl w:val="0"/>
                <w:numId w:val="3"/>
              </w:numPr>
              <w:spacing w:after="30"/>
            </w:pPr>
            <w:r>
              <w:rPr>
                <w:rFonts w:ascii="Calibri" w:cs="Calibri" w:eastAsia="Calibri" w:hAnsi="Calibri"/>
                <w:sz w:val="15"/>
                <w:szCs w:val="15"/>
              </w:rPr>
              <w:t xml:space="preserve">Para 32 (p.32): BSA ss.132–134 extracted.</w:t>
            </w:r>
          </w:p>
          <w:p>
            <w:pPr>
              <w:pStyle w:val="ListParagraph"/>
              <w:numPr>
                <w:ilvl w:val="0"/>
                <w:numId w:val="3"/>
              </w:numPr>
              <w:spacing w:after="30"/>
            </w:pPr>
            <w:r>
              <w:rPr>
                <w:rFonts w:ascii="Calibri" w:cs="Calibri" w:eastAsia="Calibri" w:hAnsi="Calibri"/>
                <w:sz w:val="15"/>
                <w:szCs w:val="15"/>
              </w:rPr>
              <w:t xml:space="preserve">Para 48 (p.53): the summons in that case held illegal.</w:t>
            </w:r>
          </w:p>
          <w:p>
            <w:pPr>
              <w:pStyle w:val="ListParagraph"/>
              <w:numPr>
                <w:ilvl w:val="0"/>
                <w:numId w:val="3"/>
              </w:numPr>
              <w:spacing w:after="30"/>
            </w:pPr>
            <w:r>
              <w:rPr>
                <w:rFonts w:ascii="Calibri" w:cs="Calibri" w:eastAsia="Calibri" w:hAnsi="Calibri"/>
                <w:sz w:val="15"/>
                <w:szCs w:val="15"/>
              </w:rPr>
              <w:t xml:space="preserve">Paras 59–66 (pp.62–73): position of in-house counsel.</w:t>
            </w:r>
          </w:p>
          <w:p>
            <w:pPr>
              <w:pStyle w:val="ListParagraph"/>
              <w:numPr>
                <w:ilvl w:val="0"/>
                <w:numId w:val="3"/>
              </w:numPr>
              <w:spacing w:after="30"/>
            </w:pPr>
            <w:r>
              <w:rPr>
                <w:rFonts w:ascii="Calibri" w:cs="Calibri" w:eastAsia="Calibri" w:hAnsi="Calibri"/>
                <w:sz w:val="15"/>
                <w:szCs w:val="15"/>
              </w:rPr>
              <w:t xml:space="preserve">Para 67, directions 1–1.4 (pp.74–75): summons only within an exception; SP-level written approval; judicial review under s.528 BNSS.</w:t>
            </w:r>
          </w:p>
          <w:p>
            <w:pPr>
              <w:pStyle w:val="ListParagraph"/>
              <w:numPr>
                <w:ilvl w:val="0"/>
                <w:numId w:val="3"/>
              </w:numPr>
              <w:spacing w:after="30"/>
            </w:pPr>
            <w:r>
              <w:rPr>
                <w:rFonts w:ascii="Calibri" w:cs="Calibri" w:eastAsia="Calibri" w:hAnsi="Calibri"/>
                <w:sz w:val="15"/>
                <w:szCs w:val="15"/>
              </w:rPr>
              <w:t xml:space="preserve">Para 67, directions 2–2.3 (pp.75–76): documents are not covered by the privilege.</w:t>
            </w:r>
          </w:p>
          <w:p>
            <w:pPr>
              <w:pStyle w:val="ListParagraph"/>
              <w:numPr>
                <w:ilvl w:val="0"/>
                <w:numId w:val="3"/>
              </w:numPr>
              <w:spacing w:after="30"/>
            </w:pPr>
            <w:r>
              <w:rPr>
                <w:rFonts w:ascii="Calibri" w:cs="Calibri" w:eastAsia="Calibri" w:hAnsi="Calibri"/>
                <w:sz w:val="15"/>
                <w:szCs w:val="15"/>
              </w:rPr>
              <w:t xml:space="preserve">Para 67, directions 3–3.3 (p.76): digital devices produced only before the jurisdictional court, with notice, a hearing and confidentiality safeguards.</w:t>
            </w:r>
          </w:p>
          <w:p>
            <w:pPr>
              <w:pStyle w:val="ListParagraph"/>
              <w:numPr>
                <w:ilvl w:val="0"/>
                <w:numId w:val="3"/>
              </w:numPr>
              <w:spacing w:after="30"/>
            </w:pPr>
            <w:r>
              <w:rPr>
                <w:rFonts w:ascii="Calibri" w:cs="Calibri" w:eastAsia="Calibri" w:hAnsi="Calibri"/>
                <w:sz w:val="15"/>
                <w:szCs w:val="15"/>
              </w:rPr>
              <w:t xml:space="preserve">Para 67, directions 4–4.1 (p.77): in-house counsel.</w:t>
            </w:r>
          </w:p>
          <w:p>
            <w:pPr>
              <w:pStyle w:val="ListParagraph"/>
              <w:numPr>
                <w:ilvl w:val="0"/>
                <w:numId w:val="3"/>
              </w:numPr>
              <w:spacing w:after="30"/>
            </w:pPr>
            <w:r>
              <w:rPr>
                <w:rFonts w:ascii="Calibri" w:cs="Calibri" w:eastAsia="Calibri" w:hAnsi="Calibri"/>
                <w:sz w:val="15"/>
                <w:szCs w:val="15"/>
              </w:rPr>
              <w:t xml:space="preserve">Para 68 (p.78): disposal.</w:t>
            </w:r>
          </w:p>
        </w:tc>
        <w:tc>
          <w:tcPr>
            <w:tcW w:type="dxa" w:w="24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Good law.</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50"/>
            </w:pPr>
            <w:r>
              <w:rPr>
                <w:rFonts w:ascii="Calibri" w:cs="Calibri" w:eastAsia="Calibri" w:hAnsi="Calibri"/>
                <w:sz w:val="15"/>
                <w:szCs w:val="15"/>
              </w:rPr>
              <w:t xml:space="preserve">[P] Court-format copy, 2025 INSC 1275 (78 pp., ITAT Online upload): </w:t>
            </w:r>
            <w:hyperlink w:history="1" r:id="rId7vh_itfpvwau2ei85cgjh">
              <w:r>
                <w:rPr>
                  <w:rStyle w:val="Hyperlink"/>
                  <w:rFonts w:ascii="Calibri" w:cs="Calibri" w:eastAsia="Calibri" w:hAnsi="Calibri"/>
                  <w:sz w:val="14"/>
                  <w:szCs w:val="14"/>
                </w:rPr>
                <w:t xml:space="preserve">https://itatonline.org/digest/wp-content/uploads/2025/11/judgment-356192025-31-10-2025-628506.pdf</w:t>
              </w:r>
            </w:hyperlink>
          </w:p>
          <w:p>
            <w:pPr>
              <w:spacing w:after="50"/>
            </w:pPr>
            <w:r>
              <w:rPr>
                <w:rFonts w:ascii="Calibri" w:cs="Calibri" w:eastAsia="Calibri" w:hAnsi="Calibri"/>
                <w:sz w:val="15"/>
                <w:szCs w:val="15"/>
              </w:rPr>
              <w:t xml:space="preserve">[P] LiveLaw-hosted copy (25 pp.): </w:t>
            </w:r>
            <w:hyperlink w:history="1" r:id="rIdl-ftysmifhu2i3opershw">
              <w:r>
                <w:rPr>
                  <w:rStyle w:val="Hyperlink"/>
                  <w:rFonts w:ascii="Calibri" w:cs="Calibri" w:eastAsia="Calibri" w:hAnsi="Calibri"/>
                  <w:sz w:val="14"/>
                  <w:szCs w:val="14"/>
                </w:rPr>
                <w:t xml:space="preserve">https://www.livelaw.in/pdf_upload/2025-livelaw-sc-1051-in-re-summoning-advocates-31-oct-2025-631600.pdf</w:t>
              </w:r>
            </w:hyperlink>
          </w:p>
          <w:p>
            <w:pPr>
              <w:spacing w:after="50"/>
            </w:pPr>
            <w:r>
              <w:rPr>
                <w:rFonts w:ascii="Calibri" w:cs="Calibri" w:eastAsia="Calibri" w:hAnsi="Calibri"/>
                <w:sz w:val="15"/>
                <w:szCs w:val="15"/>
              </w:rPr>
              <w:t xml:space="preserve">[P] ROP 31.10.2025 (Indian Kanoon): </w:t>
            </w:r>
            <w:hyperlink w:history="1" r:id="rIdamsnbvwgyg72cvp8zvevh">
              <w:r>
                <w:rPr>
                  <w:rStyle w:val="Hyperlink"/>
                  <w:rFonts w:ascii="Calibri" w:cs="Calibri" w:eastAsia="Calibri" w:hAnsi="Calibri"/>
                  <w:sz w:val="14"/>
                  <w:szCs w:val="14"/>
                </w:rPr>
                <w:t xml:space="preserve">https://indiankanoon.org/doc/129103050/</w:t>
              </w:r>
            </w:hyperlink>
          </w:p>
        </w:tc>
        <w:tc>
          <w:tcPr>
            <w:tcW w:type="dxa" w:w="1248"/>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Paragraph numbering is identical in both copies; page numbers refer to the 78-page court-format copy. The Supreme Court website copy could not be retrieved; Indian Kanoon holds the record of proceedings only.</w:t>
            </w:r>
          </w:p>
        </w:tc>
      </w:tr>
      <w:tr>
        <w:trPr>
          <w:cantSplit w:val="false"/>
        </w:trPr>
        <w:tc>
          <w:tcPr>
            <w:tcW w:type="dxa" w:w="26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bCs/>
                <w:sz w:val="15"/>
                <w:szCs w:val="15"/>
              </w:rPr>
              <w:t xml:space="preserve">9. P. Kishore v. Secretary to Government of India, Ministry of Home Affairs &amp; Ors.</w:t>
            </w:r>
          </w:p>
          <w:p>
            <w:pPr>
              <w:spacing w:after="40"/>
            </w:pPr>
            <w:r>
              <w:rPr>
                <w:rFonts w:ascii="Calibri" w:cs="Calibri" w:eastAsia="Calibri" w:hAnsi="Calibri"/>
                <w:i/>
                <w:iCs/>
                <w:sz w:val="15"/>
                <w:szCs w:val="15"/>
              </w:rPr>
              <w:t xml:space="preserve">Madras High Court; N. Anand Venkatesh J; W.P. No. 143 of 2018; decided 2 Jul 2025; 2025:MHC:1510</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Quashed a 2011 MHA interception order made in a bribery investigation. Telephone tapping to detect ordinary crime falls outside "public emergency" or "public safety". Non-placement before the Review Committee was a "brazen violation", and the material cannot be used.</w:t>
            </w:r>
          </w:p>
        </w:tc>
        <w:tc>
          <w:tcPr>
            <w:tcW w:type="dxa" w:w="4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pStyle w:val="ListParagraph"/>
              <w:numPr>
                <w:ilvl w:val="0"/>
                <w:numId w:val="3"/>
              </w:numPr>
              <w:spacing w:after="30"/>
            </w:pPr>
            <w:r>
              <w:rPr>
                <w:rFonts w:ascii="Calibri" w:cs="Calibri" w:eastAsia="Calibri" w:hAnsi="Calibri"/>
                <w:sz w:val="15"/>
                <w:szCs w:val="15"/>
              </w:rPr>
              <w:t xml:space="preserve">Para 34 (p.38): phone tapping and the Art. 21 right to privacy.</w:t>
            </w:r>
          </w:p>
          <w:p>
            <w:pPr>
              <w:pStyle w:val="ListParagraph"/>
              <w:numPr>
                <w:ilvl w:val="0"/>
                <w:numId w:val="3"/>
              </w:numPr>
              <w:spacing w:after="30"/>
            </w:pPr>
            <w:r>
              <w:rPr>
                <w:rFonts w:ascii="Calibri" w:cs="Calibri" w:eastAsia="Calibri" w:hAnsi="Calibri"/>
                <w:sz w:val="15"/>
                <w:szCs w:val="15"/>
              </w:rPr>
              <w:t xml:space="preserve">Para 51 (p.57): s.5(2) "cannot be strained to include detection of ordinary crime".</w:t>
            </w:r>
          </w:p>
          <w:p>
            <w:pPr>
              <w:pStyle w:val="ListParagraph"/>
              <w:numPr>
                <w:ilvl w:val="0"/>
                <w:numId w:val="3"/>
              </w:numPr>
              <w:spacing w:after="30"/>
            </w:pPr>
            <w:r>
              <w:rPr>
                <w:rFonts w:ascii="Calibri" w:cs="Calibri" w:eastAsia="Calibri" w:hAnsi="Calibri"/>
                <w:sz w:val="15"/>
                <w:szCs w:val="15"/>
              </w:rPr>
              <w:t xml:space="preserve">Para 67 (p.70): the order is without jurisdiction and liable to be quashed.</w:t>
            </w:r>
          </w:p>
          <w:p>
            <w:pPr>
              <w:pStyle w:val="ListParagraph"/>
              <w:numPr>
                <w:ilvl w:val="0"/>
                <w:numId w:val="3"/>
              </w:numPr>
              <w:spacing w:after="30"/>
            </w:pPr>
            <w:r>
              <w:rPr>
                <w:rFonts w:ascii="Calibri" w:cs="Calibri" w:eastAsia="Calibri" w:hAnsi="Calibri"/>
                <w:sz w:val="15"/>
                <w:szCs w:val="15"/>
              </w:rPr>
              <w:t xml:space="preserve">Para 78 (p.77): records that K.L.D. Nagasree was affirmed by the AP Division Bench and that SLP (Crl.) 5584/2025 was dismissed on 15.04.2025.</w:t>
            </w:r>
          </w:p>
          <w:p>
            <w:pPr>
              <w:pStyle w:val="ListParagraph"/>
              <w:numPr>
                <w:ilvl w:val="0"/>
                <w:numId w:val="3"/>
              </w:numPr>
              <w:spacing w:after="30"/>
            </w:pPr>
            <w:r>
              <w:rPr>
                <w:rFonts w:ascii="Calibri" w:cs="Calibri" w:eastAsia="Calibri" w:hAnsi="Calibri"/>
                <w:sz w:val="15"/>
                <w:szCs w:val="15"/>
              </w:rPr>
              <w:t xml:space="preserve">Paras 95–96 (pp.87–88): rule 419A(17); "brazen violation of the law"; the material cannot be used.</w:t>
            </w:r>
          </w:p>
          <w:p>
            <w:pPr>
              <w:pStyle w:val="ListParagraph"/>
              <w:numPr>
                <w:ilvl w:val="0"/>
                <w:numId w:val="3"/>
              </w:numPr>
              <w:spacing w:after="30"/>
            </w:pPr>
            <w:r>
              <w:rPr>
                <w:rFonts w:ascii="Calibri" w:cs="Calibri" w:eastAsia="Calibri" w:hAnsi="Calibri"/>
                <w:sz w:val="15"/>
                <w:szCs w:val="15"/>
              </w:rPr>
              <w:t xml:space="preserve">Para 97 (p.89 onwards): summary of conclusions.</w:t>
            </w:r>
          </w:p>
          <w:p>
            <w:pPr>
              <w:pStyle w:val="ListParagraph"/>
              <w:numPr>
                <w:ilvl w:val="0"/>
                <w:numId w:val="3"/>
              </w:numPr>
              <w:spacing w:after="30"/>
            </w:pPr>
            <w:r>
              <w:rPr>
                <w:rFonts w:ascii="Calibri" w:cs="Calibri" w:eastAsia="Calibri" w:hAnsi="Calibri"/>
                <w:sz w:val="15"/>
                <w:szCs w:val="15"/>
              </w:rPr>
              <w:t xml:space="preserve">Para 98 (pp.92–93): order quashed.</w:t>
            </w:r>
          </w:p>
        </w:tc>
        <w:tc>
          <w:tcPr>
            <w:tcW w:type="dxa" w:w="24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No appeal located as at 30 Oct 2026. NOTE: para 96 says K.L.D. Nagasree was "affirmed right up to the Supreme Court". The Supreme Court in fact dismissed the SLP "leaving the question of law open" (see C1).</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50"/>
            </w:pPr>
            <w:r>
              <w:rPr>
                <w:rFonts w:ascii="Calibri" w:cs="Calibri" w:eastAsia="Calibri" w:hAnsi="Calibri"/>
                <w:sz w:val="15"/>
                <w:szCs w:val="15"/>
              </w:rPr>
              <w:t xml:space="preserve">[P] Signed judgment (94 pp., Bar &amp; Bench copy): </w:t>
            </w:r>
            <w:hyperlink w:history="1" r:id="rIdaivwxvbx_zqjzqkivaket">
              <w:r>
                <w:rPr>
                  <w:rStyle w:val="Hyperlink"/>
                  <w:rFonts w:ascii="Calibri" w:cs="Calibri" w:eastAsia="Calibri" w:hAnsi="Calibri"/>
                  <w:sz w:val="14"/>
                  <w:szCs w:val="14"/>
                </w:rPr>
                <w:t xml:space="preserve">https://images.assettype.com/barandbench/2025-07-02/p0h6ap6z/P__Kishore_v__The_Secretary_to_Government.pdf</w:t>
              </w:r>
            </w:hyperlink>
          </w:p>
          <w:p>
            <w:pPr>
              <w:spacing w:after="50"/>
            </w:pPr>
            <w:r>
              <w:rPr>
                <w:rFonts w:ascii="Calibri" w:cs="Calibri" w:eastAsia="Calibri" w:hAnsi="Calibri"/>
                <w:sz w:val="15"/>
                <w:szCs w:val="15"/>
              </w:rPr>
              <w:t xml:space="preserve">[IK] Indian Kanoon: </w:t>
            </w:r>
            <w:hyperlink w:history="1" r:id="rId6xofniw0pjy1ttrtk5gmv">
              <w:r>
                <w:rPr>
                  <w:rStyle w:val="Hyperlink"/>
                  <w:rFonts w:ascii="Calibri" w:cs="Calibri" w:eastAsia="Calibri" w:hAnsi="Calibri"/>
                  <w:sz w:val="14"/>
                  <w:szCs w:val="14"/>
                </w:rPr>
                <w:t xml:space="preserve">https://indiankanoon.org/doc/144183758/</w:t>
              </w:r>
            </w:hyperlink>
          </w:p>
        </w:tc>
        <w:tc>
          <w:tcPr>
            <w:tcW w:type="dxa" w:w="1248"/>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Paras 34, 51, 67, 78, 96, 97 and 98 match on Indian Kanoon.</w:t>
            </w:r>
          </w:p>
        </w:tc>
      </w:tr>
      <w:tr>
        <w:trPr>
          <w:cantSplit w:val="false"/>
        </w:trPr>
        <w:tc>
          <w:tcPr>
            <w:tcW w:type="dxa" w:w="26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bCs/>
                <w:sz w:val="15"/>
                <w:szCs w:val="15"/>
              </w:rPr>
              <w:t xml:space="preserve">10. Aakash Deep Chouhan v. CBI &amp; Anr.</w:t>
            </w:r>
          </w:p>
          <w:p>
            <w:pPr>
              <w:spacing w:after="40"/>
            </w:pPr>
            <w:r>
              <w:rPr>
                <w:rFonts w:ascii="Calibri" w:cs="Calibri" w:eastAsia="Calibri" w:hAnsi="Calibri"/>
                <w:i/>
                <w:iCs/>
                <w:sz w:val="15"/>
                <w:szCs w:val="15"/>
              </w:rPr>
              <w:t xml:space="preserve">Delhi High Court; Amit Mahajan J; CRL.M.C. 204/2020; decided 26 Jun 2025; 2025:DHC:5019</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Upheld interception in a large corruption case as justified in the interest of public safety, because corruption threatens the economic safety of the country. Admissibility of intercepts turns on reliability, not on how they were obtained. This decision weighs AGAINST the "surveillance is practically limited" factor.</w:t>
            </w:r>
          </w:p>
        </w:tc>
        <w:tc>
          <w:tcPr>
            <w:tcW w:type="dxa" w:w="4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pStyle w:val="ListParagraph"/>
              <w:numPr>
                <w:ilvl w:val="0"/>
                <w:numId w:val="3"/>
              </w:numPr>
              <w:spacing w:after="30"/>
            </w:pPr>
            <w:r>
              <w:rPr>
                <w:rFonts w:ascii="Calibri" w:cs="Calibri" w:eastAsia="Calibri" w:hAnsi="Calibri"/>
                <w:sz w:val="15"/>
                <w:szCs w:val="15"/>
              </w:rPr>
              <w:t xml:space="preserve">Para 26 (p.15): privacy is not absolute.</w:t>
            </w:r>
          </w:p>
          <w:p>
            <w:pPr>
              <w:pStyle w:val="ListParagraph"/>
              <w:numPr>
                <w:ilvl w:val="0"/>
                <w:numId w:val="3"/>
              </w:numPr>
              <w:spacing w:after="30"/>
            </w:pPr>
            <w:r>
              <w:rPr>
                <w:rFonts w:ascii="Calibri" w:cs="Calibri" w:eastAsia="Calibri" w:hAnsi="Calibri"/>
                <w:sz w:val="15"/>
                <w:szCs w:val="15"/>
              </w:rPr>
              <w:t xml:space="preserve">Para 28 (p.17): corruption threatens the "economic safety of the country".</w:t>
            </w:r>
          </w:p>
          <w:p>
            <w:pPr>
              <w:pStyle w:val="ListParagraph"/>
              <w:numPr>
                <w:ilvl w:val="0"/>
                <w:numId w:val="3"/>
              </w:numPr>
              <w:spacing w:after="30"/>
            </w:pPr>
            <w:r>
              <w:rPr>
                <w:rFonts w:ascii="Calibri" w:cs="Calibri" w:eastAsia="Calibri" w:hAnsi="Calibri"/>
                <w:sz w:val="15"/>
                <w:szCs w:val="15"/>
              </w:rPr>
              <w:t xml:space="preserve">Paras 30–31 (p.19): the facts, and review by the Review Committee.</w:t>
            </w:r>
          </w:p>
          <w:p>
            <w:pPr>
              <w:pStyle w:val="ListParagraph"/>
              <w:numPr>
                <w:ilvl w:val="0"/>
                <w:numId w:val="3"/>
              </w:numPr>
              <w:spacing w:after="30"/>
            </w:pPr>
            <w:r>
              <w:rPr>
                <w:rFonts w:ascii="Calibri" w:cs="Calibri" w:eastAsia="Calibri" w:hAnsi="Calibri"/>
                <w:sz w:val="15"/>
                <w:szCs w:val="15"/>
              </w:rPr>
              <w:t xml:space="preserve">Para 37 (p.22): interception was in accordance with law; no destruction ordered.</w:t>
            </w:r>
          </w:p>
          <w:p>
            <w:pPr>
              <w:pStyle w:val="ListParagraph"/>
              <w:numPr>
                <w:ilvl w:val="0"/>
                <w:numId w:val="3"/>
              </w:numPr>
              <w:spacing w:after="30"/>
            </w:pPr>
            <w:r>
              <w:rPr>
                <w:rFonts w:ascii="Calibri" w:cs="Calibri" w:eastAsia="Calibri" w:hAnsi="Calibri"/>
                <w:sz w:val="15"/>
                <w:szCs w:val="15"/>
              </w:rPr>
              <w:t xml:space="preserve">Para 39 (p.24): "The admissibility of any piece of evidence rests on its reliability".</w:t>
            </w:r>
          </w:p>
          <w:p>
            <w:pPr>
              <w:pStyle w:val="ListParagraph"/>
              <w:numPr>
                <w:ilvl w:val="0"/>
                <w:numId w:val="3"/>
              </w:numPr>
              <w:spacing w:after="30"/>
            </w:pPr>
            <w:r>
              <w:rPr>
                <w:rFonts w:ascii="Calibri" w:cs="Calibri" w:eastAsia="Calibri" w:hAnsi="Calibri"/>
                <w:sz w:val="15"/>
                <w:szCs w:val="15"/>
              </w:rPr>
              <w:t xml:space="preserve">Para 55 (p.31): petition dismissed.</w:t>
            </w:r>
          </w:p>
        </w:tc>
        <w:tc>
          <w:tcPr>
            <w:tcW w:type="dxa" w:w="24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No appeal against this judgment located. The later petitions CRL.M.C. 1304–1305/2026 (Delhi HC) concern trial-court orders in the same prosecution.</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50"/>
            </w:pPr>
            <w:r>
              <w:rPr>
                <w:rFonts w:ascii="Calibri" w:cs="Calibri" w:eastAsia="Calibri" w:hAnsi="Calibri"/>
                <w:sz w:val="15"/>
                <w:szCs w:val="15"/>
              </w:rPr>
              <w:t xml:space="preserve">[P] Delhi HC pronouncement list, 26.06.2025: </w:t>
            </w:r>
            <w:hyperlink w:history="1" r:id="rIde9s1foebtqvuaocukzj8l">
              <w:r>
                <w:rPr>
                  <w:rStyle w:val="Hyperlink"/>
                  <w:rFonts w:ascii="Calibri" w:cs="Calibri" w:eastAsia="Calibri" w:hAnsi="Calibri"/>
                  <w:sz w:val="14"/>
                  <w:szCs w:val="14"/>
                </w:rPr>
                <w:t xml:space="preserve">https://delhihighcourt.nic.in/files/2025-06/announcements/jud-26062025.pdf</w:t>
              </w:r>
            </w:hyperlink>
          </w:p>
          <w:p>
            <w:pPr>
              <w:spacing w:after="50"/>
            </w:pPr>
            <w:r>
              <w:rPr>
                <w:rFonts w:ascii="Calibri" w:cs="Calibri" w:eastAsia="Calibri" w:hAnsi="Calibri"/>
                <w:sz w:val="15"/>
                <w:szCs w:val="15"/>
              </w:rPr>
              <w:t xml:space="preserve">[P] Signed judgment (31 pp., LawChakra copy): </w:t>
            </w:r>
            <w:hyperlink w:history="1" r:id="rIdnqovxdmsyxhwbecy58jya">
              <w:r>
                <w:rPr>
                  <w:rStyle w:val="Hyperlink"/>
                  <w:rFonts w:ascii="Calibri" w:cs="Calibri" w:eastAsia="Calibri" w:hAnsi="Calibri"/>
                  <w:sz w:val="14"/>
                  <w:szCs w:val="14"/>
                </w:rPr>
                <w:t xml:space="preserve">https://lawchakra.in/wp-content/uploads/2025/07/LawChakra-AAKASH-DEEP-CHOUHAN-versus-CBI-ANR.pdf</w:t>
              </w:r>
            </w:hyperlink>
          </w:p>
          <w:p>
            <w:pPr>
              <w:spacing w:after="50"/>
            </w:pPr>
            <w:r>
              <w:rPr>
                <w:rFonts w:ascii="Calibri" w:cs="Calibri" w:eastAsia="Calibri" w:hAnsi="Calibri"/>
                <w:sz w:val="15"/>
                <w:szCs w:val="15"/>
              </w:rPr>
              <w:t xml:space="preserve">[IK] Indian Kanoon: </w:t>
            </w:r>
            <w:hyperlink w:history="1" r:id="rIdllct7en061ipb0-aco8ci">
              <w:r>
                <w:rPr>
                  <w:rStyle w:val="Hyperlink"/>
                  <w:rFonts w:ascii="Calibri" w:cs="Calibri" w:eastAsia="Calibri" w:hAnsi="Calibri"/>
                  <w:sz w:val="14"/>
                  <w:szCs w:val="14"/>
                </w:rPr>
                <w:t xml:space="preserve">https://indiankanoon.org/doc/75448850/</w:t>
              </w:r>
            </w:hyperlink>
          </w:p>
        </w:tc>
        <w:tc>
          <w:tcPr>
            <w:tcW w:type="dxa" w:w="1248"/>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Paras 26, 28, 31, 37, 39 and 55 match on Indian Kanoon.</w:t>
            </w:r>
          </w:p>
        </w:tc>
      </w:tr>
      <w:tr>
        <w:trPr>
          <w:cantSplit w:val="false"/>
        </w:trPr>
        <w:tc>
          <w:tcPr>
            <w:tcW w:type="dxa" w:w="26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bCs/>
                <w:sz w:val="15"/>
                <w:szCs w:val="15"/>
              </w:rPr>
              <w:t xml:space="preserve">11. Shri Ravi Shankar Ji Maharaj v. Central Bureau of Investigation &amp; Ors.</w:t>
            </w:r>
          </w:p>
          <w:p>
            <w:pPr>
              <w:spacing w:after="40"/>
            </w:pPr>
            <w:r>
              <w:rPr>
                <w:rFonts w:ascii="Calibri" w:cs="Calibri" w:eastAsia="Calibri" w:hAnsi="Calibri"/>
                <w:i/>
                <w:iCs/>
                <w:sz w:val="15"/>
                <w:szCs w:val="15"/>
              </w:rPr>
              <w:t xml:space="preserve">Chhattisgarh High Court (Division Bench: Ramesh Sinha CJ and Ravindra Kumar Agrawal J); CRMP No. 1504 of 2026; decided 3 Aug 2026; 2026:CGHC:33468-DB</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The first located decision applying s.20(2) of the Telecommunications Act 2023 and the 2024 Interception Rules. A valid prior authorisation is a jurisdictional fact that cannot be supplied retrospectively by MHA confirmation or by the Review Committee. Intercepts were ordered destroyed, but the FIR was not quashed.</w:t>
            </w:r>
          </w:p>
        </w:tc>
        <w:tc>
          <w:tcPr>
            <w:tcW w:type="dxa" w:w="4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pStyle w:val="ListParagraph"/>
              <w:numPr>
                <w:ilvl w:val="0"/>
                <w:numId w:val="3"/>
              </w:numPr>
              <w:spacing w:after="30"/>
            </w:pPr>
            <w:r>
              <w:rPr>
                <w:rFonts w:ascii="Calibri" w:cs="Calibri" w:eastAsia="Calibri" w:hAnsi="Calibri"/>
                <w:sz w:val="15"/>
                <w:szCs w:val="15"/>
              </w:rPr>
              <w:t xml:space="preserve">Paras 44–45 (p.35): authorisation dated 28.06.2025; MHA confirmation dated 04.07.2025.</w:t>
            </w:r>
          </w:p>
          <w:p>
            <w:pPr>
              <w:pStyle w:val="ListParagraph"/>
              <w:numPr>
                <w:ilvl w:val="0"/>
                <w:numId w:val="3"/>
              </w:numPr>
              <w:spacing w:after="30"/>
            </w:pPr>
            <w:r>
              <w:rPr>
                <w:rFonts w:ascii="Calibri" w:cs="Calibri" w:eastAsia="Calibri" w:hAnsi="Calibri"/>
                <w:sz w:val="15"/>
                <w:szCs w:val="15"/>
              </w:rPr>
              <w:t xml:space="preserve">Paras 46–48 (p.36): retrospective validation impermissible; authorisation is a "jurisdictional fact".</w:t>
            </w:r>
          </w:p>
          <w:p>
            <w:pPr>
              <w:pStyle w:val="ListParagraph"/>
              <w:numPr>
                <w:ilvl w:val="0"/>
                <w:numId w:val="3"/>
              </w:numPr>
              <w:spacing w:after="30"/>
            </w:pPr>
            <w:r>
              <w:rPr>
                <w:rFonts w:ascii="Calibri" w:cs="Calibri" w:eastAsia="Calibri" w:hAnsi="Calibri"/>
                <w:sz w:val="15"/>
                <w:szCs w:val="15"/>
              </w:rPr>
              <w:t xml:space="preserve">Para 49 (p.37): s.20(2) and the 2024 Rules incorporate the Telegraph Act safeguards.</w:t>
            </w:r>
          </w:p>
          <w:p>
            <w:pPr>
              <w:pStyle w:val="ListParagraph"/>
              <w:numPr>
                <w:ilvl w:val="0"/>
                <w:numId w:val="3"/>
              </w:numPr>
              <w:spacing w:after="30"/>
            </w:pPr>
            <w:r>
              <w:rPr>
                <w:rFonts w:ascii="Calibri" w:cs="Calibri" w:eastAsia="Calibri" w:hAnsi="Calibri"/>
                <w:sz w:val="15"/>
                <w:szCs w:val="15"/>
              </w:rPr>
              <w:t xml:space="preserve">Para 50 (p.38): the Review Committee is supervisory and cannot validate the order.</w:t>
            </w:r>
          </w:p>
          <w:p>
            <w:pPr>
              <w:pStyle w:val="ListParagraph"/>
              <w:numPr>
                <w:ilvl w:val="0"/>
                <w:numId w:val="3"/>
              </w:numPr>
              <w:spacing w:after="30"/>
            </w:pPr>
            <w:r>
              <w:rPr>
                <w:rFonts w:ascii="Calibri" w:cs="Calibri" w:eastAsia="Calibri" w:hAnsi="Calibri"/>
                <w:sz w:val="15"/>
                <w:szCs w:val="15"/>
              </w:rPr>
              <w:t xml:space="preserve">Paras 52–53 (p.39): independent evidence remains; FIR not quashed.</w:t>
            </w:r>
          </w:p>
          <w:p>
            <w:pPr>
              <w:pStyle w:val="ListParagraph"/>
              <w:numPr>
                <w:ilvl w:val="0"/>
                <w:numId w:val="3"/>
              </w:numPr>
              <w:spacing w:after="30"/>
            </w:pPr>
            <w:r>
              <w:rPr>
                <w:rFonts w:ascii="Calibri" w:cs="Calibri" w:eastAsia="Calibri" w:hAnsi="Calibri"/>
                <w:sz w:val="15"/>
                <w:szCs w:val="15"/>
              </w:rPr>
              <w:t xml:space="preserve">Para 55 (p.40): holdings.</w:t>
            </w:r>
          </w:p>
          <w:p>
            <w:pPr>
              <w:pStyle w:val="ListParagraph"/>
              <w:numPr>
                <w:ilvl w:val="0"/>
                <w:numId w:val="3"/>
              </w:numPr>
              <w:spacing w:after="30"/>
            </w:pPr>
            <w:r>
              <w:rPr>
                <w:rFonts w:ascii="Calibri" w:cs="Calibri" w:eastAsia="Calibri" w:hAnsi="Calibri"/>
                <w:sz w:val="15"/>
                <w:szCs w:val="15"/>
              </w:rPr>
              <w:t xml:space="preserve">Para 59 (p.41): operative directions.</w:t>
            </w:r>
          </w:p>
        </w:tc>
        <w:tc>
          <w:tcPr>
            <w:tcW w:type="dxa" w:w="24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No appeal located as at 30 Oct 2026.</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50"/>
            </w:pPr>
            <w:r>
              <w:rPr>
                <w:rFonts w:ascii="Calibri" w:cs="Calibri" w:eastAsia="Calibri" w:hAnsi="Calibri"/>
                <w:sz w:val="15"/>
                <w:szCs w:val="15"/>
              </w:rPr>
              <w:t xml:space="preserve">[P] Signed judgment (43 pp., Bar &amp; Bench copy): </w:t>
            </w:r>
            <w:hyperlink w:history="1" r:id="rIduqt5frkx7a5boa0g_ku_c">
              <w:r>
                <w:rPr>
                  <w:rStyle w:val="Hyperlink"/>
                  <w:rFonts w:ascii="Calibri" w:cs="Calibri" w:eastAsia="Calibri" w:hAnsi="Calibri"/>
                  <w:sz w:val="14"/>
                  <w:szCs w:val="14"/>
                </w:rPr>
                <w:t xml:space="preserve">https://images.assettype.com/barandbench/2026-08-07/ogupaz45/Shri_Ravi_Shankar_Ji_Maharaj_vs_CBI_and_ors_.pdf</w:t>
              </w:r>
            </w:hyperlink>
          </w:p>
          <w:p>
            <w:pPr>
              <w:spacing w:after="50"/>
            </w:pPr>
            <w:r>
              <w:rPr>
                <w:rFonts w:ascii="Calibri" w:cs="Calibri" w:eastAsia="Calibri" w:hAnsi="Calibri"/>
                <w:sz w:val="15"/>
                <w:szCs w:val="15"/>
              </w:rPr>
              <w:t xml:space="preserve">[IK] Indian Kanoon: </w:t>
            </w:r>
            <w:hyperlink w:history="1" r:id="rIdjwuutzqouukm103jug7ty">
              <w:r>
                <w:rPr>
                  <w:rStyle w:val="Hyperlink"/>
                  <w:rFonts w:ascii="Calibri" w:cs="Calibri" w:eastAsia="Calibri" w:hAnsi="Calibri"/>
                  <w:sz w:val="14"/>
                  <w:szCs w:val="14"/>
                </w:rPr>
                <w:t xml:space="preserve">https://indiankanoon.org/doc/170552958/</w:t>
              </w:r>
            </w:hyperlink>
          </w:p>
        </w:tc>
        <w:tc>
          <w:tcPr>
            <w:tcW w:type="dxa" w:w="1248"/>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Paras 48, 49, 50, 53, 55 and 59 match on Indian Kanoon.</w:t>
            </w:r>
          </w:p>
        </w:tc>
      </w:tr>
      <w:tr>
        <w:trPr>
          <w:cantSplit w:val="false"/>
        </w:trPr>
        <w:tc>
          <w:tcPr>
            <w:tcW w:type="dxa" w:w="26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bCs/>
                <w:sz w:val="15"/>
                <w:szCs w:val="15"/>
              </w:rPr>
              <w:t xml:space="preserve">12. X Corp v. Union of India</w:t>
            </w:r>
          </w:p>
          <w:p>
            <w:pPr>
              <w:spacing w:after="40"/>
            </w:pPr>
            <w:r>
              <w:rPr>
                <w:rFonts w:ascii="Calibri" w:cs="Calibri" w:eastAsia="Calibri" w:hAnsi="Calibri"/>
                <w:i/>
                <w:iCs/>
                <w:sz w:val="15"/>
                <w:szCs w:val="15"/>
              </w:rPr>
              <w:t xml:space="preserve">Karnataka High Court; M. Nagaprasanna J; W.P. No. 7405 of 2025 (GM-RES); decided 24 Sep 2025</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Article 19 rights belong to citizens only, so a foreign company cannot invoke them. The judgment also quotes an earlier coordinate-bench ruling that Article 21 is not available to X Corp because it is not a natural person. EU individuals, as natural persons, can invoke Articles 14 and 21.</w:t>
            </w:r>
          </w:p>
        </w:tc>
        <w:tc>
          <w:tcPr>
            <w:tcW w:type="dxa" w:w="4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pStyle w:val="ListParagraph"/>
              <w:numPr>
                <w:ilvl w:val="0"/>
                <w:numId w:val="3"/>
              </w:numPr>
              <w:spacing w:after="30"/>
            </w:pPr>
            <w:r>
              <w:rPr>
                <w:rFonts w:ascii="Calibri" w:cs="Calibri" w:eastAsia="Calibri" w:hAnsi="Calibri"/>
                <w:sz w:val="15"/>
                <w:szCs w:val="15"/>
              </w:rPr>
              <w:t xml:space="preserve">Paras 17.1–17.7 (pp.249–258): whether Art. 19 is available to a foreign entity.</w:t>
            </w:r>
          </w:p>
          <w:p>
            <w:pPr>
              <w:pStyle w:val="ListParagraph"/>
              <w:numPr>
                <w:ilvl w:val="0"/>
                <w:numId w:val="3"/>
              </w:numPr>
              <w:spacing w:after="30"/>
            </w:pPr>
            <w:r>
              <w:rPr>
                <w:rFonts w:ascii="Calibri" w:cs="Calibri" w:eastAsia="Calibri" w:hAnsi="Calibri"/>
                <w:sz w:val="15"/>
                <w:szCs w:val="15"/>
              </w:rPr>
              <w:t xml:space="preserve">Para 17.2 (p.252): Art. 19 rights are "citizen centric and not person centric".</w:t>
            </w:r>
          </w:p>
          <w:p>
            <w:pPr>
              <w:pStyle w:val="ListParagraph"/>
              <w:numPr>
                <w:ilvl w:val="0"/>
                <w:numId w:val="3"/>
              </w:numPr>
              <w:spacing w:after="30"/>
            </w:pPr>
            <w:r>
              <w:rPr>
                <w:rFonts w:ascii="Calibri" w:cs="Calibri" w:eastAsia="Calibri" w:hAnsi="Calibri"/>
                <w:sz w:val="15"/>
                <w:szCs w:val="15"/>
              </w:rPr>
              <w:t xml:space="preserve">Paras 17.6–17.7 (pp.257–258): Art. 19 cannot found a challenge by a foreign company; quotes the earlier X Corp coordinate-bench ruling on Arts. 19 and 21.</w:t>
            </w:r>
          </w:p>
          <w:p>
            <w:pPr>
              <w:pStyle w:val="ListParagraph"/>
              <w:numPr>
                <w:ilvl w:val="0"/>
                <w:numId w:val="3"/>
              </w:numPr>
              <w:spacing w:after="30"/>
            </w:pPr>
            <w:r>
              <w:rPr>
                <w:rFonts w:ascii="Calibri" w:cs="Calibri" w:eastAsia="Calibri" w:hAnsi="Calibri"/>
                <w:sz w:val="15"/>
                <w:szCs w:val="15"/>
              </w:rPr>
              <w:t xml:space="preserve">Summary of Findings (pp.346–349).</w:t>
            </w:r>
          </w:p>
          <w:p>
            <w:pPr>
              <w:pStyle w:val="ListParagraph"/>
              <w:numPr>
                <w:ilvl w:val="0"/>
                <w:numId w:val="3"/>
              </w:numPr>
              <w:spacing w:after="30"/>
            </w:pPr>
            <w:r>
              <w:rPr>
                <w:rFonts w:ascii="Calibri" w:cs="Calibri" w:eastAsia="Calibri" w:hAnsi="Calibri"/>
                <w:sz w:val="15"/>
                <w:szCs w:val="15"/>
              </w:rPr>
              <w:t xml:space="preserve">Para 25 (p.350): petition rejected.</w:t>
            </w:r>
          </w:p>
        </w:tc>
        <w:tc>
          <w:tcPr>
            <w:tcW w:type="dxa" w:w="24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X Corp has publicly stated it will appeal; the status of any appeal was not verified.</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50"/>
            </w:pPr>
            <w:r>
              <w:rPr>
                <w:rFonts w:ascii="Calibri" w:cs="Calibri" w:eastAsia="Calibri" w:hAnsi="Calibri"/>
                <w:sz w:val="15"/>
                <w:szCs w:val="15"/>
              </w:rPr>
              <w:t xml:space="preserve">[P] Judgment (351 pp., Bar &amp; Bench copy): </w:t>
            </w:r>
            <w:hyperlink w:history="1" r:id="rId_duubucyfygybeiexpdoc">
              <w:r>
                <w:rPr>
                  <w:rStyle w:val="Hyperlink"/>
                  <w:rFonts w:ascii="Calibri" w:cs="Calibri" w:eastAsia="Calibri" w:hAnsi="Calibri"/>
                  <w:sz w:val="14"/>
                  <w:szCs w:val="14"/>
                </w:rPr>
                <w:t xml:space="preserve">https://images.assettype.com/barandbench/2025-09-27/zm5a4acm/X_corp_Vs_Union_of_India.pdf</w:t>
              </w:r>
            </w:hyperlink>
          </w:p>
          <w:p>
            <w:pPr>
              <w:spacing w:after="50"/>
            </w:pPr>
            <w:r>
              <w:rPr>
                <w:rFonts w:ascii="Calibri" w:cs="Calibri" w:eastAsia="Calibri" w:hAnsi="Calibri"/>
                <w:sz w:val="15"/>
                <w:szCs w:val="15"/>
              </w:rPr>
              <w:t xml:space="preserve">[IK] Indian Kanoon: </w:t>
            </w:r>
            <w:hyperlink w:history="1" r:id="rIdi6jn7aimrvqh-fqrww0k4">
              <w:r>
                <w:rPr>
                  <w:rStyle w:val="Hyperlink"/>
                  <w:rFonts w:ascii="Calibri" w:cs="Calibri" w:eastAsia="Calibri" w:hAnsi="Calibri"/>
                  <w:sz w:val="14"/>
                  <w:szCs w:val="14"/>
                </w:rPr>
                <w:t xml:space="preserve">https://indiankanoon.org/doc/7614885/</w:t>
              </w:r>
            </w:hyperlink>
          </w:p>
        </w:tc>
        <w:tc>
          <w:tcPr>
            <w:tcW w:type="dxa" w:w="1248"/>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Paras 17.2 and 25 match on Indian Kanoon.</w:t>
            </w:r>
          </w:p>
        </w:tc>
      </w:tr>
      <w:tr>
        <w:trPr>
          <w:cantSplit w:val="false"/>
        </w:trPr>
        <w:tc>
          <w:tcPr>
            <w:tcW w:type="dxa" w:w="26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bCs/>
                <w:sz w:val="15"/>
                <w:szCs w:val="15"/>
              </w:rPr>
              <w:t xml:space="preserve">13. Anuradha Bhasin v. Union of India &amp; Ors. (with Ghulam Nabi Azad v. Union of India)</w:t>
            </w:r>
          </w:p>
          <w:p>
            <w:pPr>
              <w:spacing w:after="40"/>
            </w:pPr>
            <w:r>
              <w:rPr>
                <w:rFonts w:ascii="Calibri" w:cs="Calibri" w:eastAsia="Calibri" w:hAnsi="Calibri"/>
                <w:i/>
                <w:iCs/>
                <w:sz w:val="15"/>
                <w:szCs w:val="15"/>
              </w:rPr>
              <w:t xml:space="preserve">Supreme Court; N.V. Ramana, R. Subhash Reddy and B.R. Gavai JJ; W.P.(C) Nos. 1031 and 1164 of 2019; decided 10 Jan 2020; (2020) 3 SCC 637</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The State must produce orders that curtail fundamental rights, and must claim any privilege specifically on affidavit. Orders suspending telecom services must be published, must be proportionate and temporary, and are subject to judicial review and periodic review.</w:t>
            </w:r>
          </w:p>
        </w:tc>
        <w:tc>
          <w:tcPr>
            <w:tcW w:type="dxa" w:w="4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pStyle w:val="ListParagraph"/>
              <w:numPr>
                <w:ilvl w:val="0"/>
                <w:numId w:val="3"/>
              </w:numPr>
              <w:spacing w:after="30"/>
            </w:pPr>
            <w:r>
              <w:rPr>
                <w:rFonts w:ascii="Calibri" w:cs="Calibri" w:eastAsia="Calibri" w:hAnsi="Calibri"/>
                <w:sz w:val="15"/>
                <w:szCs w:val="15"/>
              </w:rPr>
              <w:t xml:space="preserve">Paras 14–17 (PDF pp.21–23): duty to produce orders; privilege or public interest must be "specifically claimed by the State on affidavit" (para 17).</w:t>
            </w:r>
          </w:p>
          <w:p>
            <w:pPr>
              <w:pStyle w:val="ListParagraph"/>
              <w:numPr>
                <w:ilvl w:val="0"/>
                <w:numId w:val="3"/>
              </w:numPr>
              <w:spacing w:after="30"/>
            </w:pPr>
            <w:r>
              <w:rPr>
                <w:rFonts w:ascii="Calibri" w:cs="Calibri" w:eastAsia="Calibri" w:hAnsi="Calibri"/>
                <w:sz w:val="15"/>
                <w:szCs w:val="15"/>
              </w:rPr>
              <w:t xml:space="preserve">Para 152 (PDF pp.127–128): directions (a) publish orders; (b) Art. 19 and proportionality; (c)–(f) suspension must be temporary and proportionate, is subject to judicial review, and requires periodic review within seven working days.</w:t>
            </w:r>
          </w:p>
        </w:tc>
        <w:tc>
          <w:tcPr>
            <w:tcW w:type="dxa" w:w="24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Good law.</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50"/>
            </w:pPr>
            <w:r>
              <w:rPr>
                <w:rFonts w:ascii="Calibri" w:cs="Calibri" w:eastAsia="Calibri" w:hAnsi="Calibri"/>
                <w:sz w:val="15"/>
                <w:szCs w:val="15"/>
              </w:rPr>
              <w:t xml:space="preserve">[P] Official judgment (SC, 130 pp.): </w:t>
            </w:r>
            <w:hyperlink w:history="1" r:id="rIdrsobwkqkvfeq2mxyvq1o1">
              <w:r>
                <w:rPr>
                  <w:rStyle w:val="Hyperlink"/>
                  <w:rFonts w:ascii="Calibri" w:cs="Calibri" w:eastAsia="Calibri" w:hAnsi="Calibri"/>
                  <w:sz w:val="14"/>
                  <w:szCs w:val="14"/>
                </w:rPr>
                <w:t xml:space="preserve">https://api.sci.gov.in/supremecourt/2019/28817/28817_2019_2_1501_19350_Judgement_10-Jan-2020.pdf</w:t>
              </w:r>
            </w:hyperlink>
          </w:p>
          <w:p>
            <w:pPr>
              <w:spacing w:after="50"/>
            </w:pPr>
            <w:r>
              <w:rPr>
                <w:rFonts w:ascii="Calibri" w:cs="Calibri" w:eastAsia="Calibri" w:hAnsi="Calibri"/>
                <w:sz w:val="15"/>
                <w:szCs w:val="15"/>
              </w:rPr>
              <w:t xml:space="preserve">[IK] Indian Kanoon: </w:t>
            </w:r>
            <w:hyperlink w:history="1" r:id="rId5brf8oqstlipcxf3fpo5a">
              <w:r>
                <w:rPr>
                  <w:rStyle w:val="Hyperlink"/>
                  <w:rFonts w:ascii="Calibri" w:cs="Calibri" w:eastAsia="Calibri" w:hAnsi="Calibri"/>
                  <w:sz w:val="14"/>
                  <w:szCs w:val="14"/>
                </w:rPr>
                <w:t xml:space="preserve">https://indiankanoon.org/doc/82461587/</w:t>
              </w:r>
            </w:hyperlink>
          </w:p>
        </w:tc>
        <w:tc>
          <w:tcPr>
            <w:tcW w:type="dxa" w:w="1248"/>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Paras 14, 17 and 152 match on Indian Kanoon.</w:t>
            </w:r>
          </w:p>
        </w:tc>
      </w:tr>
      <w:tr>
        <w:trPr>
          <w:cantSplit w:val="false"/>
        </w:trPr>
        <w:tc>
          <w:tcPr>
            <w:tcW w:type="dxa" w:w="26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bCs/>
                <w:sz w:val="15"/>
                <w:szCs w:val="15"/>
              </w:rPr>
              <w:t xml:space="preserve">14. Future Gaming and Hotels Services Pvt. Ltd. &amp; Anr. v. Directorate of Enforcement &amp; Ors.</w:t>
            </w:r>
          </w:p>
          <w:p>
            <w:pPr>
              <w:spacing w:after="40"/>
            </w:pPr>
            <w:r>
              <w:rPr>
                <w:rFonts w:ascii="Calibri" w:cs="Calibri" w:eastAsia="Calibri" w:hAnsi="Calibri"/>
                <w:i/>
                <w:iCs/>
                <w:sz w:val="15"/>
                <w:szCs w:val="15"/>
              </w:rPr>
              <w:t xml:space="preserve">Supreme Court; W.P.(Crl.) No. 515 of 2024</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Interim protection against the State accessing and copying data on seized digital devices.</w:t>
            </w:r>
          </w:p>
        </w:tc>
        <w:tc>
          <w:tcPr>
            <w:tcW w:type="dxa" w:w="4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pStyle w:val="ListParagraph"/>
              <w:numPr>
                <w:ilvl w:val="0"/>
                <w:numId w:val="3"/>
              </w:numPr>
              <w:spacing w:after="30"/>
            </w:pPr>
            <w:r>
              <w:rPr>
                <w:rFonts w:ascii="Calibri" w:cs="Calibri" w:eastAsia="Calibri" w:hAnsi="Calibri"/>
                <w:sz w:val="15"/>
                <w:szCs w:val="15"/>
              </w:rPr>
              <w:t xml:space="preserve">ROP 13.12.2024 (Oka and Mithal JJ): notice issued; tagged with W.P.(C) 1081/2022; ad-interim relief in terms of prayer (i) (ED not to access or copy the contents of the seized phone and devices) and prayer (ii) (stay of PMLA s.50 summons so far as they require attendance for data extraction).</w:t>
            </w:r>
          </w:p>
        </w:tc>
        <w:tc>
          <w:tcPr>
            <w:tcW w:type="dxa" w:w="24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PENDING; now part of the Foundation for Media Professionals batch. ROP 06.02.2026 (Surya Kant CJI and Bagchi J): matters to be segregated; listed on 14.04.2026; "Interim order, if any, to continue." No later order located.</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50"/>
            </w:pPr>
            <w:r>
              <w:rPr>
                <w:rFonts w:ascii="Calibri" w:cs="Calibri" w:eastAsia="Calibri" w:hAnsi="Calibri"/>
                <w:sz w:val="15"/>
                <w:szCs w:val="15"/>
              </w:rPr>
              <w:t xml:space="preserve">[P] SC ROP 13.12.2024: </w:t>
            </w:r>
            <w:hyperlink w:history="1" r:id="rId2fx-vuk4c7l_ino7ljdjx">
              <w:r>
                <w:rPr>
                  <w:rStyle w:val="Hyperlink"/>
                  <w:rFonts w:ascii="Calibri" w:cs="Calibri" w:eastAsia="Calibri" w:hAnsi="Calibri"/>
                  <w:sz w:val="14"/>
                  <w:szCs w:val="14"/>
                </w:rPr>
                <w:t xml:space="preserve">https://api.sci.gov.in/supremecourt/2024/57510/57510_2024_5_86_58074_Order_13-Dec-2024.pdf</w:t>
              </w:r>
            </w:hyperlink>
          </w:p>
          <w:p>
            <w:pPr>
              <w:spacing w:after="50"/>
            </w:pPr>
            <w:r>
              <w:rPr>
                <w:rFonts w:ascii="Calibri" w:cs="Calibri" w:eastAsia="Calibri" w:hAnsi="Calibri"/>
                <w:sz w:val="15"/>
                <w:szCs w:val="15"/>
              </w:rPr>
              <w:t xml:space="preserve">[IK] Indian Kanoon: </w:t>
            </w:r>
            <w:hyperlink w:history="1" r:id="rIdru5zhhtkxeanpo5j6cw37">
              <w:r>
                <w:rPr>
                  <w:rStyle w:val="Hyperlink"/>
                  <w:rFonts w:ascii="Calibri" w:cs="Calibri" w:eastAsia="Calibri" w:hAnsi="Calibri"/>
                  <w:sz w:val="14"/>
                  <w:szCs w:val="14"/>
                </w:rPr>
                <w:t xml:space="preserve">https://indiankanoon.org/doc/8005960/</w:t>
              </w:r>
            </w:hyperlink>
          </w:p>
          <w:p>
            <w:pPr>
              <w:spacing w:after="50"/>
            </w:pPr>
            <w:r>
              <w:rPr>
                <w:rFonts w:ascii="Calibri" w:cs="Calibri" w:eastAsia="Calibri" w:hAnsi="Calibri"/>
                <w:sz w:val="15"/>
                <w:szCs w:val="15"/>
              </w:rPr>
              <w:t xml:space="preserve">[P] Batch ROP 06.02.2026 (Indian Kanoon): </w:t>
            </w:r>
            <w:hyperlink w:history="1" r:id="rId4m1qfxvzvb9ttsbkrwsom">
              <w:r>
                <w:rPr>
                  <w:rStyle w:val="Hyperlink"/>
                  <w:rFonts w:ascii="Calibri" w:cs="Calibri" w:eastAsia="Calibri" w:hAnsi="Calibri"/>
                  <w:sz w:val="14"/>
                  <w:szCs w:val="14"/>
                </w:rPr>
                <w:t xml:space="preserve">https://indiankanoon.org/doc/25058995/</w:t>
              </w:r>
            </w:hyperlink>
          </w:p>
        </w:tc>
        <w:tc>
          <w:tcPr>
            <w:tcW w:type="dxa" w:w="1248"/>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The ROP text is identical on the SC website and on Indian Kanoon. W.P.(Crl.) 515/2024 is listed in the 06.02.2026 batch order.</w:t>
            </w:r>
          </w:p>
        </w:tc>
      </w:tr>
      <w:tr>
        <w:trPr>
          <w:cantSplit w:val="false"/>
        </w:trPr>
        <w:tc>
          <w:tcPr>
            <w:tcW w:type="dxa" w:w="26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bCs/>
                <w:sz w:val="15"/>
                <w:szCs w:val="15"/>
              </w:rPr>
              <w:t xml:space="preserve">15. Foundation for Media Professionals v. Union of India &amp; Ors.</w:t>
            </w:r>
          </w:p>
          <w:p>
            <w:pPr>
              <w:spacing w:after="40"/>
            </w:pPr>
            <w:r>
              <w:rPr>
                <w:rFonts w:ascii="Calibri" w:cs="Calibri" w:eastAsia="Calibri" w:hAnsi="Calibri"/>
                <w:i/>
                <w:iCs/>
                <w:sz w:val="15"/>
                <w:szCs w:val="15"/>
              </w:rPr>
              <w:t xml:space="preserve">Supreme Court; W.P.(Crl.) No. 395 of 2022, with W.P.(Crl.) 138/2021, W.P.(C) 1081/2022 and connected matters</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Petition seeking guidelines for the search and seizure of digital devices, including prior judicial authorisation.</w:t>
            </w:r>
          </w:p>
        </w:tc>
        <w:tc>
          <w:tcPr>
            <w:tcW w:type="dxa" w:w="4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pStyle w:val="ListParagraph"/>
              <w:numPr>
                <w:ilvl w:val="0"/>
                <w:numId w:val="3"/>
              </w:numPr>
              <w:spacing w:after="30"/>
            </w:pPr>
            <w:r>
              <w:rPr>
                <w:rFonts w:ascii="Calibri" w:cs="Calibri" w:eastAsia="Calibri" w:hAnsi="Calibri"/>
                <w:sz w:val="15"/>
                <w:szCs w:val="15"/>
              </w:rPr>
              <w:t xml:space="preserve">ROP 07.11.2023 (Kaul and Dhulia JJ): the Court put to the ASG that "proper guidelines need to be framed to protect the interests of the media professionals", citing Puttaswamy.</w:t>
            </w:r>
          </w:p>
          <w:p>
            <w:pPr>
              <w:pStyle w:val="ListParagraph"/>
              <w:numPr>
                <w:ilvl w:val="0"/>
                <w:numId w:val="3"/>
              </w:numPr>
              <w:spacing w:after="30"/>
            </w:pPr>
            <w:r>
              <w:rPr>
                <w:rFonts w:ascii="Calibri" w:cs="Calibri" w:eastAsia="Calibri" w:hAnsi="Calibri"/>
                <w:sz w:val="15"/>
                <w:szCs w:val="15"/>
              </w:rPr>
              <w:t xml:space="preserve">ROP 06.02.2026: segregation of matters; listed on 14.04.2026.</w:t>
            </w:r>
          </w:p>
        </w:tc>
        <w:tc>
          <w:tcPr>
            <w:tcW w:type="dxa" w:w="24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PENDING; no guidelines framed. Separately, W.P.(C) 447/2026 (also by Foundation for Media Professionals) challenges the DPDP Act and is tagged with W.P.(C) 177/2026.</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50"/>
            </w:pPr>
            <w:r>
              <w:rPr>
                <w:rFonts w:ascii="Calibri" w:cs="Calibri" w:eastAsia="Calibri" w:hAnsi="Calibri"/>
                <w:sz w:val="15"/>
                <w:szCs w:val="15"/>
              </w:rPr>
              <w:t xml:space="preserve">[P] SC ROP 09.10.2023: </w:t>
            </w:r>
            <w:hyperlink w:history="1" r:id="rIdggarkje2otkumjv3mexgy">
              <w:r>
                <w:rPr>
                  <w:rStyle w:val="Hyperlink"/>
                  <w:rFonts w:ascii="Calibri" w:cs="Calibri" w:eastAsia="Calibri" w:hAnsi="Calibri"/>
                  <w:sz w:val="14"/>
                  <w:szCs w:val="14"/>
                </w:rPr>
                <w:t xml:space="preserve">https://main.sci.gov.in/supremecourt/2022/29892/29892_2022_2_802_47504_Order_09-Oct-2023.pdf</w:t>
              </w:r>
            </w:hyperlink>
          </w:p>
          <w:p>
            <w:pPr>
              <w:spacing w:after="50"/>
            </w:pPr>
            <w:r>
              <w:rPr>
                <w:rFonts w:ascii="Calibri" w:cs="Calibri" w:eastAsia="Calibri" w:hAnsi="Calibri"/>
                <w:sz w:val="15"/>
                <w:szCs w:val="15"/>
              </w:rPr>
              <w:t xml:space="preserve">[P] ROP 07.11.2023 (Indian Kanoon): </w:t>
            </w:r>
            <w:hyperlink w:history="1" r:id="rIdn9zqwzyo9fucyclzt-kak">
              <w:r>
                <w:rPr>
                  <w:rStyle w:val="Hyperlink"/>
                  <w:rFonts w:ascii="Calibri" w:cs="Calibri" w:eastAsia="Calibri" w:hAnsi="Calibri"/>
                  <w:sz w:val="14"/>
                  <w:szCs w:val="14"/>
                </w:rPr>
                <w:t xml:space="preserve">https://indiankanoon.org/doc/89801401/</w:t>
              </w:r>
            </w:hyperlink>
          </w:p>
          <w:p>
            <w:pPr>
              <w:spacing w:after="50"/>
            </w:pPr>
            <w:r>
              <w:rPr>
                <w:rFonts w:ascii="Calibri" w:cs="Calibri" w:eastAsia="Calibri" w:hAnsi="Calibri"/>
                <w:sz w:val="15"/>
                <w:szCs w:val="15"/>
              </w:rPr>
              <w:t xml:space="preserve">[P] ROP 06.02.2026 (Indian Kanoon): </w:t>
            </w:r>
            <w:hyperlink w:history="1" r:id="rIdjh5nq2nxwtpwchpqgb4p8">
              <w:r>
                <w:rPr>
                  <w:rStyle w:val="Hyperlink"/>
                  <w:rFonts w:ascii="Calibri" w:cs="Calibri" w:eastAsia="Calibri" w:hAnsi="Calibri"/>
                  <w:sz w:val="14"/>
                  <w:szCs w:val="14"/>
                </w:rPr>
                <w:t xml:space="preserve">https://indiankanoon.org/doc/25058995/</w:t>
              </w:r>
            </w:hyperlink>
          </w:p>
        </w:tc>
        <w:tc>
          <w:tcPr>
            <w:tcW w:type="dxa" w:w="1248"/>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Orders only; no judgment.</w:t>
            </w:r>
          </w:p>
        </w:tc>
      </w:tr>
      <w:tr>
        <w:trPr>
          <w:cantSplit w:val="false"/>
        </w:trPr>
        <w:tc>
          <w:tcPr>
            <w:tcW w:type="dxa" w:w="26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bCs/>
                <w:sz w:val="15"/>
                <w:szCs w:val="15"/>
              </w:rPr>
              <w:t xml:space="preserve">16. Venkatesh Nayak v. Union of India (and connected DPDP challenges)</w:t>
            </w:r>
          </w:p>
          <w:p>
            <w:pPr>
              <w:spacing w:after="40"/>
            </w:pPr>
            <w:r>
              <w:rPr>
                <w:rFonts w:ascii="Calibri" w:cs="Calibri" w:eastAsia="Calibri" w:hAnsi="Calibri"/>
                <w:i/>
                <w:iCs/>
                <w:sz w:val="15"/>
                <w:szCs w:val="15"/>
              </w:rPr>
              <w:t xml:space="preserve">Supreme Court; W.P.(C) No. 177 of 2026, with W.P.(C) Nos. 211, 212, 275, 286, 447, 655 and 722 of 2026</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Constitutional challenge to the DPDP Act and Rules, including ss.17(1)(c), 17(2), 33(1), 36 and 44(3) of the DPDP Act and rule 23(2) of the DPDP Rules (government information demands with a gag on disclosure).</w:t>
            </w:r>
          </w:p>
        </w:tc>
        <w:tc>
          <w:tcPr>
            <w:tcW w:type="dxa" w:w="4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pStyle w:val="ListParagraph"/>
              <w:numPr>
                <w:ilvl w:val="0"/>
                <w:numId w:val="3"/>
              </w:numPr>
              <w:spacing w:after="30"/>
            </w:pPr>
            <w:r>
              <w:rPr>
                <w:rFonts w:ascii="Calibri" w:cs="Calibri" w:eastAsia="Calibri" w:hAnsi="Calibri"/>
                <w:sz w:val="15"/>
                <w:szCs w:val="15"/>
              </w:rPr>
              <w:t xml:space="preserve">Writ petition, Ground W (petition PDF p.40): challenge to s.36 read with rule 23.</w:t>
            </w:r>
          </w:p>
          <w:p>
            <w:pPr>
              <w:pStyle w:val="ListParagraph"/>
              <w:numPr>
                <w:ilvl w:val="0"/>
                <w:numId w:val="3"/>
              </w:numPr>
              <w:spacing w:after="30"/>
            </w:pPr>
            <w:r>
              <w:rPr>
                <w:rFonts w:ascii="Calibri" w:cs="Calibri" w:eastAsia="Calibri" w:hAnsi="Calibri"/>
                <w:sz w:val="15"/>
                <w:szCs w:val="15"/>
              </w:rPr>
              <w:t xml:space="preserve">ROP 16.02.2026 (CJI, Bagchi and Pancholi JJ): notice issued, returnable on 23.03.2026.</w:t>
            </w:r>
          </w:p>
          <w:p>
            <w:pPr>
              <w:pStyle w:val="ListParagraph"/>
              <w:numPr>
                <w:ilvl w:val="0"/>
                <w:numId w:val="3"/>
              </w:numPr>
              <w:spacing w:after="30"/>
            </w:pPr>
            <w:r>
              <w:rPr>
                <w:rFonts w:ascii="Calibri" w:cs="Calibri" w:eastAsia="Calibri" w:hAnsi="Calibri"/>
                <w:sz w:val="15"/>
                <w:szCs w:val="15"/>
              </w:rPr>
              <w:t xml:space="preserve">ROP 23.03.2026: interventions allowed; Union of India to file counter affidavit within four weeks; listed on 13.05.2026.</w:t>
            </w:r>
          </w:p>
          <w:p>
            <w:pPr>
              <w:pStyle w:val="ListParagraph"/>
              <w:numPr>
                <w:ilvl w:val="0"/>
                <w:numId w:val="3"/>
              </w:numPr>
              <w:spacing w:after="30"/>
            </w:pPr>
            <w:r>
              <w:rPr>
                <w:rFonts w:ascii="Calibri" w:cs="Calibri" w:eastAsia="Calibri" w:hAnsi="Calibri"/>
                <w:sz w:val="15"/>
                <w:szCs w:val="15"/>
              </w:rPr>
              <w:t xml:space="preserve">ROP 07.08.2026 (CJI, Bagchi and V. Mohana JJ): MeitY impleaded; listed on 17.11.2026.</w:t>
            </w:r>
          </w:p>
        </w:tc>
        <w:tc>
          <w:tcPr>
            <w:tcW w:type="dxa" w:w="24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PENDING before a three-judge bench; next listing 17 Nov 2026. No stay order located. A press report of a reference to a larger bench is NOT reflected in the signed orders located.</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50"/>
            </w:pPr>
            <w:r>
              <w:rPr>
                <w:rFonts w:ascii="Calibri" w:cs="Calibri" w:eastAsia="Calibri" w:hAnsi="Calibri"/>
                <w:sz w:val="15"/>
                <w:szCs w:val="15"/>
              </w:rPr>
              <w:t xml:space="preserve">[P] SC ROP 16.02.2026 (LiveLaw copy): </w:t>
            </w:r>
            <w:hyperlink w:history="1" r:id="rIdanxoqd2_xgypcf2f5g4ql">
              <w:r>
                <w:rPr>
                  <w:rStyle w:val="Hyperlink"/>
                  <w:rFonts w:ascii="Calibri" w:cs="Calibri" w:eastAsia="Calibri" w:hAnsi="Calibri"/>
                  <w:sz w:val="14"/>
                  <w:szCs w:val="14"/>
                </w:rPr>
                <w:t xml:space="preserve">https://www.livelaw.in/pdf_upload/2026/02/18/776520262026-02-16-656727.pdf</w:t>
              </w:r>
            </w:hyperlink>
          </w:p>
          <w:p>
            <w:pPr>
              <w:spacing w:after="50"/>
            </w:pPr>
            <w:r>
              <w:rPr>
                <w:rFonts w:ascii="Calibri" w:cs="Calibri" w:eastAsia="Calibri" w:hAnsi="Calibri"/>
                <w:sz w:val="15"/>
                <w:szCs w:val="15"/>
              </w:rPr>
              <w:t xml:space="preserve">[P] ROP 23.03.2026 (Indian Kanoon): </w:t>
            </w:r>
            <w:hyperlink w:history="1" r:id="rId9asqiyikw0vo62jdxrxcn">
              <w:r>
                <w:rPr>
                  <w:rStyle w:val="Hyperlink"/>
                  <w:rFonts w:ascii="Calibri" w:cs="Calibri" w:eastAsia="Calibri" w:hAnsi="Calibri"/>
                  <w:sz w:val="14"/>
                  <w:szCs w:val="14"/>
                </w:rPr>
                <w:t xml:space="preserve">https://indiankanoon.org/doc/15439728/</w:t>
              </w:r>
            </w:hyperlink>
          </w:p>
          <w:p>
            <w:pPr>
              <w:spacing w:after="50"/>
            </w:pPr>
            <w:r>
              <w:rPr>
                <w:rFonts w:ascii="Calibri" w:cs="Calibri" w:eastAsia="Calibri" w:hAnsi="Calibri"/>
                <w:sz w:val="15"/>
                <w:szCs w:val="15"/>
              </w:rPr>
              <w:t xml:space="preserve">[P] ROP 07.08.2026 (Indian Kanoon): </w:t>
            </w:r>
            <w:hyperlink w:history="1" r:id="rIdv7tuztmg9htwzw3fkrhy_">
              <w:r>
                <w:rPr>
                  <w:rStyle w:val="Hyperlink"/>
                  <w:rFonts w:ascii="Calibri" w:cs="Calibri" w:eastAsia="Calibri" w:hAnsi="Calibri"/>
                  <w:sz w:val="14"/>
                  <w:szCs w:val="14"/>
                </w:rPr>
                <w:t xml:space="preserve">https://indiankanoon.org/doc/168596788/</w:t>
              </w:r>
            </w:hyperlink>
          </w:p>
          <w:p>
            <w:pPr>
              <w:spacing w:after="50"/>
            </w:pPr>
            <w:r>
              <w:rPr>
                <w:rFonts w:ascii="Calibri" w:cs="Calibri" w:eastAsia="Calibri" w:hAnsi="Calibri"/>
                <w:sz w:val="15"/>
                <w:szCs w:val="15"/>
              </w:rPr>
              <w:t xml:space="preserve">[P] Writ petition (SC Observer copy): </w:t>
            </w:r>
            <w:hyperlink w:history="1" r:id="rIdpveior9wxm_0euzofijfw">
              <w:r>
                <w:rPr>
                  <w:rStyle w:val="Hyperlink"/>
                  <w:rFonts w:ascii="Calibri" w:cs="Calibri" w:eastAsia="Calibri" w:hAnsi="Calibri"/>
                  <w:sz w:val="14"/>
                  <w:szCs w:val="14"/>
                </w:rPr>
                <w:t xml:space="preserve">https://www.scobserver.in/wp-content/uploads/2026/02/Venkatesh-Nayak-v-Union-of-India-Writ-Petition.pdf</w:t>
              </w:r>
            </w:hyperlink>
          </w:p>
        </w:tc>
        <w:tc>
          <w:tcPr>
            <w:tcW w:type="dxa" w:w="1248"/>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Orders only.</w:t>
            </w:r>
          </w:p>
        </w:tc>
      </w:tr>
      <w:tr>
        <w:trPr>
          <w:cantSplit w:val="false"/>
        </w:trPr>
        <w:tc>
          <w:tcPr>
            <w:tcW w:type="dxa" w:w="26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bCs/>
                <w:sz w:val="15"/>
                <w:szCs w:val="15"/>
              </w:rPr>
              <w:t xml:space="preserve">17. Digital News Publishers Association &amp; Anr. v. Union of India &amp; Anr.</w:t>
            </w:r>
          </w:p>
          <w:p>
            <w:pPr>
              <w:spacing w:after="40"/>
            </w:pPr>
            <w:r>
              <w:rPr>
                <w:rFonts w:ascii="Calibri" w:cs="Calibri" w:eastAsia="Calibri" w:hAnsi="Calibri"/>
                <w:i/>
                <w:iCs/>
                <w:sz w:val="15"/>
                <w:szCs w:val="15"/>
              </w:rPr>
              <w:t xml:space="preserve">Supreme Court; W.P.(C) Diary No. 45589/2026</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Further DPDP challenge, including to s.36 and rule 23 (as reported).</w:t>
            </w:r>
          </w:p>
        </w:tc>
        <w:tc>
          <w:tcPr>
            <w:tcW w:type="dxa" w:w="4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pStyle w:val="ListParagraph"/>
              <w:numPr>
                <w:ilvl w:val="0"/>
                <w:numId w:val="3"/>
              </w:numPr>
              <w:spacing w:after="30"/>
            </w:pPr>
            <w:r>
              <w:rPr>
                <w:rFonts w:ascii="Calibri" w:cs="Calibri" w:eastAsia="Calibri" w:hAnsi="Calibri"/>
                <w:sz w:val="15"/>
                <w:szCs w:val="15"/>
              </w:rPr>
              <w:t xml:space="preserve">ROP 27.10.2026 (CJI, Bagchi and V. Mohana JJ): delay condoned; notice issued, returnable on 17.11.2026; tagged with W.P.(C) 177/2026.</w:t>
            </w:r>
          </w:p>
        </w:tc>
        <w:tc>
          <w:tcPr>
            <w:tcW w:type="dxa" w:w="24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PENDING.</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50"/>
            </w:pPr>
            <w:r>
              <w:rPr>
                <w:rFonts w:ascii="Calibri" w:cs="Calibri" w:eastAsia="Calibri" w:hAnsi="Calibri"/>
                <w:sz w:val="15"/>
                <w:szCs w:val="15"/>
              </w:rPr>
              <w:t xml:space="preserve">[P] ROP 27.10.2026 (Indian Kanoon): </w:t>
            </w:r>
            <w:hyperlink w:history="1" r:id="rIdzjna_5s2pvdtjxkewrwce">
              <w:r>
                <w:rPr>
                  <w:rStyle w:val="Hyperlink"/>
                  <w:rFonts w:ascii="Calibri" w:cs="Calibri" w:eastAsia="Calibri" w:hAnsi="Calibri"/>
                  <w:sz w:val="14"/>
                  <w:szCs w:val="14"/>
                </w:rPr>
                <w:t xml:space="preserve">https://indiankanoon.org/doc/140217908/</w:t>
              </w:r>
            </w:hyperlink>
          </w:p>
          <w:p>
            <w:pPr>
              <w:spacing w:after="50"/>
            </w:pPr>
            <w:r>
              <w:rPr>
                <w:rFonts w:ascii="Calibri" w:cs="Calibri" w:eastAsia="Calibri" w:hAnsi="Calibri"/>
                <w:sz w:val="15"/>
                <w:szCs w:val="15"/>
              </w:rPr>
              <w:t xml:space="preserve">[S] LiveLaw report of the provisions challenged: </w:t>
            </w:r>
            <w:hyperlink w:history="1" r:id="rIdmvgpnfi_zevlen1258bho">
              <w:r>
                <w:rPr>
                  <w:rStyle w:val="Hyperlink"/>
                  <w:rFonts w:ascii="Calibri" w:cs="Calibri" w:eastAsia="Calibri" w:hAnsi="Calibri"/>
                  <w:sz w:val="14"/>
                  <w:szCs w:val="14"/>
                </w:rPr>
                <w:t xml:space="preserve">https://www.livelaw.in/top-stories/newsrooms-will-shutdown-digital-wings-of-legacy-media-move-supreme-court-challenging-personal-data-protection-law-556103</w:t>
              </w:r>
            </w:hyperlink>
          </w:p>
        </w:tc>
        <w:tc>
          <w:tcPr>
            <w:tcW w:type="dxa" w:w="1248"/>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The provisions challenged are taken from the press report; the petition itself was not reviewed.</w:t>
            </w:r>
          </w:p>
        </w:tc>
      </w:tr>
      <w:tr>
        <w:trPr>
          <w:cantSplit w:val="false"/>
        </w:trPr>
        <w:tc>
          <w:tcPr>
            <w:tcW w:type="dxa" w:w="26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bCs/>
                <w:sz w:val="15"/>
                <w:szCs w:val="15"/>
              </w:rPr>
              <w:t xml:space="preserve">18. WhatsApp LLC v. Union of India</w:t>
            </w:r>
          </w:p>
          <w:p>
            <w:pPr>
              <w:spacing w:after="40"/>
            </w:pPr>
            <w:r>
              <w:rPr>
                <w:rFonts w:ascii="Calibri" w:cs="Calibri" w:eastAsia="Calibri" w:hAnsi="Calibri"/>
                <w:i/>
                <w:iCs/>
                <w:sz w:val="15"/>
                <w:szCs w:val="15"/>
              </w:rPr>
              <w:t xml:space="preserve">Delhi High Court; W.P.(C) No. 7284 of 2021 (challenge to rule 4(2) of the IT Rules 2021, the "traceability" requirement), heard in a batch with W.P.(C) 7281/2021 (Facebook Inc.) and others</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Constitutional challenge to the requirement that messaging services identify the first originator of messages.</w:t>
            </w:r>
          </w:p>
        </w:tc>
        <w:tc>
          <w:tcPr>
            <w:tcW w:type="dxa" w:w="4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pStyle w:val="ListParagraph"/>
              <w:numPr>
                <w:ilvl w:val="0"/>
                <w:numId w:val="3"/>
              </w:numPr>
              <w:spacing w:after="30"/>
            </w:pPr>
            <w:r>
              <w:rPr>
                <w:rFonts w:ascii="Calibri" w:cs="Calibri" w:eastAsia="Calibri" w:hAnsi="Calibri"/>
                <w:sz w:val="15"/>
                <w:szCs w:val="15"/>
              </w:rPr>
              <w:t xml:space="preserve">Order of 14.07.2026 (Navin Chawla and Ravinder Dudeja JJ): the subject matter is "in active consideration before the Government"; re-listed on 17.11.2026; the Union must file its counter affidavit three weeks before that date.</w:t>
            </w:r>
          </w:p>
        </w:tc>
        <w:tc>
          <w:tcPr>
            <w:tcW w:type="dxa" w:w="24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PENDING; no judgment.</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50"/>
            </w:pPr>
            <w:r>
              <w:rPr>
                <w:rFonts w:ascii="Calibri" w:cs="Calibri" w:eastAsia="Calibri" w:hAnsi="Calibri"/>
                <w:sz w:val="15"/>
                <w:szCs w:val="15"/>
              </w:rPr>
              <w:t xml:space="preserve">[P] DHC order 14.07.2026 (Indian Kanoon): </w:t>
            </w:r>
            <w:hyperlink w:history="1" r:id="rIdsrk7qvlyglzz6o-_slcmx">
              <w:r>
                <w:rPr>
                  <w:rStyle w:val="Hyperlink"/>
                  <w:rFonts w:ascii="Calibri" w:cs="Calibri" w:eastAsia="Calibri" w:hAnsi="Calibri"/>
                  <w:sz w:val="14"/>
                  <w:szCs w:val="14"/>
                </w:rPr>
                <w:t xml:space="preserve">https://indiankanoon.org/doc/62459562/</w:t>
              </w:r>
            </w:hyperlink>
          </w:p>
        </w:tc>
        <w:tc>
          <w:tcPr>
            <w:tcW w:type="dxa" w:w="1248"/>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W.P.(C) 7284/2021 appears in the cause title of the batch order.</w:t>
            </w:r>
          </w:p>
        </w:tc>
      </w:tr>
      <w:tr>
        <w:trPr>
          <w:cantSplit w:val="false"/>
        </w:trPr>
        <w:tc>
          <w:tcPr>
            <w:tcW w:type="dxa" w:w="26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bCs/>
                <w:sz w:val="15"/>
                <w:szCs w:val="15"/>
              </w:rPr>
              <w:t xml:space="preserve">19. Challenges to the MHA order of 20 Dec 2018 (S.O. 6227(E)) under s.69 IT Act (petitions including by M.L. Sharma and the Internet Freedom Foundation)</w:t>
            </w:r>
          </w:p>
          <w:p>
            <w:pPr>
              <w:spacing w:after="40"/>
            </w:pPr>
            <w:r>
              <w:rPr>
                <w:rFonts w:ascii="Calibri" w:cs="Calibri" w:eastAsia="Calibri" w:hAnsi="Calibri"/>
                <w:i/>
                <w:iCs/>
                <w:sz w:val="15"/>
                <w:szCs w:val="15"/>
              </w:rPr>
              <w:t xml:space="preserve">Supreme Court; notice reportedly issued in January 2019</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Constitutional challenge to s.69 of the IT Act and to the authorisation of ten agencies to intercept, monitor and decrypt.</w:t>
            </w:r>
          </w:p>
        </w:tc>
        <w:tc>
          <w:tcPr>
            <w:tcW w:type="dxa" w:w="4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pStyle w:val="ListParagraph"/>
              <w:numPr>
                <w:ilvl w:val="0"/>
                <w:numId w:val="3"/>
              </w:numPr>
              <w:spacing w:after="30"/>
            </w:pPr>
            <w:r>
              <w:rPr>
                <w:rFonts w:ascii="Calibri" w:cs="Calibri" w:eastAsia="Calibri" w:hAnsi="Calibri"/>
                <w:sz w:val="15"/>
                <w:szCs w:val="15"/>
              </w:rPr>
              <w:t xml:space="preserve">No signed order located.</w:t>
            </w:r>
          </w:p>
        </w:tc>
        <w:tc>
          <w:tcPr>
            <w:tcW w:type="dxa" w:w="24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Reported as pending. NOT VERIFIED from primary records. W.P.(C) Nos. 61/2019 and 13/2019 (with which the CPIL matter is to be heard) may be among these petitions, but their subject matter was not verified.</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50"/>
            </w:pPr>
            <w:r>
              <w:rPr>
                <w:rFonts w:ascii="Calibri" w:cs="Calibri" w:eastAsia="Calibri" w:hAnsi="Calibri"/>
                <w:sz w:val="15"/>
                <w:szCs w:val="15"/>
              </w:rPr>
              <w:t xml:space="preserve">[S] LiveLaw: </w:t>
            </w:r>
            <w:hyperlink w:history="1" r:id="rIdvz2c0f0fepvr7qqt46rzv">
              <w:r>
                <w:rPr>
                  <w:rStyle w:val="Hyperlink"/>
                  <w:rFonts w:ascii="Calibri" w:cs="Calibri" w:eastAsia="Calibri" w:hAnsi="Calibri"/>
                  <w:sz w:val="14"/>
                  <w:szCs w:val="14"/>
                </w:rPr>
                <w:t xml:space="preserve">https://www.livelaw.in/top-stories/challenge-against-69-it-act-and-mha-notification-on-monitoring-computers-sc-issues-notice-to-centre-142098</w:t>
              </w:r>
            </w:hyperlink>
          </w:p>
          <w:p>
            <w:pPr>
              <w:spacing w:after="50"/>
            </w:pPr>
            <w:r>
              <w:rPr>
                <w:rFonts w:ascii="Calibri" w:cs="Calibri" w:eastAsia="Calibri" w:hAnsi="Calibri"/>
                <w:sz w:val="15"/>
                <w:szCs w:val="15"/>
              </w:rPr>
              <w:t xml:space="preserve">[S] Newsclick: </w:t>
            </w:r>
            <w:hyperlink w:history="1" r:id="rId8ivxneddq72nfbbzgljpu">
              <w:r>
                <w:rPr>
                  <w:rStyle w:val="Hyperlink"/>
                  <w:rFonts w:ascii="Calibri" w:cs="Calibri" w:eastAsia="Calibri" w:hAnsi="Calibri"/>
                  <w:sz w:val="14"/>
                  <w:szCs w:val="14"/>
                </w:rPr>
                <w:t xml:space="preserve">https://www.newsclick.in/mha-surveillance-order-sc-issues-notice-centre</w:t>
              </w:r>
            </w:hyperlink>
          </w:p>
        </w:tc>
        <w:tc>
          <w:tcPr>
            <w:tcW w:type="dxa" w:w="1248"/>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Secondary sources only.</w:t>
            </w:r>
          </w:p>
        </w:tc>
      </w:tr>
      <w:tr>
        <w:trPr>
          <w:cantSplit w:val="false"/>
        </w:trPr>
        <w:tc>
          <w:tcPr>
            <w:tcW w:type="dxa" w:w="26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bCs/>
                <w:sz w:val="15"/>
                <w:szCs w:val="15"/>
              </w:rPr>
              <w:t xml:space="preserve">20. Latombe v. European Commission (EU)</w:t>
            </w:r>
          </w:p>
          <w:p>
            <w:pPr>
              <w:spacing w:after="40"/>
            </w:pPr>
            <w:r>
              <w:rPr>
                <w:rFonts w:ascii="Calibri" w:cs="Calibri" w:eastAsia="Calibri" w:hAnsi="Calibri"/>
                <w:i/>
                <w:iCs/>
                <w:sz w:val="15"/>
                <w:szCs w:val="15"/>
              </w:rPr>
              <w:t xml:space="preserve">General Court of the EU; Case T-553/23; judgment of 3 Sep 2025 (action dismissed; OJ C/2025/5446). Appeal: Case C-703/25 P, lodged 31 Oct 2025</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Validity of the EU–US Data Privacy Framework. Relevant only to onward transfers to US sub-processors.</w:t>
            </w:r>
          </w:p>
        </w:tc>
        <w:tc>
          <w:tcPr>
            <w:tcW w:type="dxa" w:w="4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pStyle w:val="ListParagraph"/>
              <w:numPr>
                <w:ilvl w:val="0"/>
                <w:numId w:val="3"/>
              </w:numPr>
              <w:spacing w:after="30"/>
            </w:pPr>
            <w:r>
              <w:rPr>
                <w:rFonts w:ascii="Calibri" w:cs="Calibri" w:eastAsia="Calibri" w:hAnsi="Calibri"/>
                <w:sz w:val="15"/>
                <w:szCs w:val="15"/>
              </w:rPr>
              <w:t xml:space="preserve">Paragraph pinpoints NOT VERIFIED: the official text could not be retrieved in this environment.</w:t>
            </w:r>
          </w:p>
        </w:tc>
        <w:tc>
          <w:tcPr>
            <w:tcW w:type="dxa" w:w="24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Appeal pending before the Court of Justice.</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50"/>
            </w:pPr>
            <w:r>
              <w:rPr>
                <w:rFonts w:ascii="Calibri" w:cs="Calibri" w:eastAsia="Calibri" w:hAnsi="Calibri"/>
                <w:sz w:val="15"/>
                <w:szCs w:val="15"/>
              </w:rPr>
              <w:t xml:space="preserve">[P] EUR-Lex (CELEX 62023TJ0553): </w:t>
            </w:r>
            <w:hyperlink w:history="1" r:id="rIdk4ne_fenumgytw6ni2x-i">
              <w:r>
                <w:rPr>
                  <w:rStyle w:val="Hyperlink"/>
                  <w:rFonts w:ascii="Calibri" w:cs="Calibri" w:eastAsia="Calibri" w:hAnsi="Calibri"/>
                  <w:sz w:val="14"/>
                  <w:szCs w:val="14"/>
                </w:rPr>
                <w:t xml:space="preserve">https://eur-lex.europa.eu/legal-content/EN/TXT/?uri=CELEX:62023TJ0553</w:t>
              </w:r>
            </w:hyperlink>
          </w:p>
          <w:p>
            <w:pPr>
              <w:spacing w:after="50"/>
            </w:pPr>
            <w:r>
              <w:rPr>
                <w:rFonts w:ascii="Calibri" w:cs="Calibri" w:eastAsia="Calibri" w:hAnsi="Calibri"/>
                <w:sz w:val="15"/>
                <w:szCs w:val="15"/>
              </w:rPr>
              <w:t xml:space="preserve">[P] CURIA case search (C-703/25): </w:t>
            </w:r>
            <w:hyperlink w:history="1" r:id="rIdpq-dphrjckmprp1euu3qy">
              <w:r>
                <w:rPr>
                  <w:rStyle w:val="Hyperlink"/>
                  <w:rFonts w:ascii="Calibri" w:cs="Calibri" w:eastAsia="Calibri" w:hAnsi="Calibri"/>
                  <w:sz w:val="14"/>
                  <w:szCs w:val="14"/>
                </w:rPr>
                <w:t xml:space="preserve">https://curia.europa.eu/juris/liste.jsf?num=C-703/25</w:t>
              </w:r>
            </w:hyperlink>
          </w:p>
        </w:tc>
        <w:tc>
          <w:tcPr>
            <w:tcW w:type="dxa" w:w="1248"/>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Open the official texts directly to confirm paragraph references.</w:t>
            </w:r>
          </w:p>
        </w:tc>
      </w:tr>
    </w:tbl>
    <w:p>
      <w:pPr>
        <w:pStyle w:val="Heading2"/>
        <w:spacing w:after="100" w:before="200"/>
      </w:pPr>
      <w:r>
        <w:rPr>
          <w:rFonts w:ascii="Calibri" w:cs="Calibri" w:eastAsia="Calibri" w:hAnsi="Calibri"/>
        </w:rPr>
        <w:t xml:space="preserve">Part C: Cases cited within the above judgments and relied on in the redline comments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50"/>
        <w:gridCol w:w="2350"/>
        <w:gridCol w:w="4350"/>
        <w:gridCol w:w="2450"/>
        <w:gridCol w:w="2350"/>
        <w:gridCol w:w="1248"/>
      </w:tblGrid>
      <w:tr>
        <w:trPr>
          <w:tblHeader/>
        </w:trPr>
        <w:tc>
          <w:tcPr>
            <w:tcW w:type="dxa" w:w="265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Calibri" w:cs="Calibri" w:eastAsia="Calibri" w:hAnsi="Calibri"/>
                <w:b/>
                <w:bCs/>
                <w:sz w:val="15"/>
                <w:szCs w:val="15"/>
              </w:rPr>
              <w:t xml:space="preserve">Case, court, number, date, citation</w:t>
            </w:r>
          </w:p>
        </w:tc>
        <w:tc>
          <w:tcPr>
            <w:tcW w:type="dxa" w:w="235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Calibri" w:cs="Calibri" w:eastAsia="Calibri" w:hAnsi="Calibri"/>
                <w:b/>
                <w:bCs/>
                <w:sz w:val="15"/>
                <w:szCs w:val="15"/>
              </w:rPr>
              <w:t xml:space="preserve">Proposition relevant to the DTIA</w:t>
            </w:r>
          </w:p>
        </w:tc>
        <w:tc>
          <w:tcPr>
            <w:tcW w:type="dxa" w:w="435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Calibri" w:cs="Calibri" w:eastAsia="Calibri" w:hAnsi="Calibri"/>
                <w:b/>
                <w:bCs/>
                <w:sz w:val="15"/>
                <w:szCs w:val="15"/>
              </w:rPr>
              <w:t xml:space="preserve">Pinpoint paragraphs (and page of the free PDF)</w:t>
            </w:r>
          </w:p>
        </w:tc>
        <w:tc>
          <w:tcPr>
            <w:tcW w:type="dxa" w:w="245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Calibri" w:cs="Calibri" w:eastAsia="Calibri" w:hAnsi="Calibri"/>
                <w:b/>
                <w:bCs/>
                <w:sz w:val="15"/>
                <w:szCs w:val="15"/>
              </w:rPr>
              <w:t xml:space="preserve">Status as at 30 Oct 2026 / subsequent history</w:t>
            </w:r>
          </w:p>
        </w:tc>
        <w:tc>
          <w:tcPr>
            <w:tcW w:type="dxa" w:w="235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Calibri" w:cs="Calibri" w:eastAsia="Calibri" w:hAnsi="Calibri"/>
                <w:b/>
                <w:bCs/>
                <w:sz w:val="15"/>
                <w:szCs w:val="15"/>
              </w:rPr>
              <w:t xml:space="preserve">Free sources ([P] primary, [IK] Indian Kanoon, [S] secondary)</w:t>
            </w:r>
          </w:p>
        </w:tc>
        <w:tc>
          <w:tcPr>
            <w:tcW w:type="dxa" w:w="1248"/>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Calibri" w:cs="Calibri" w:eastAsia="Calibri" w:hAnsi="Calibri"/>
                <w:b/>
                <w:bCs/>
                <w:sz w:val="15"/>
                <w:szCs w:val="15"/>
              </w:rPr>
              <w:t xml:space="preserve">Cross-check note</w:t>
            </w:r>
          </w:p>
        </w:tc>
      </w:tr>
      <w:tr>
        <w:trPr>
          <w:cantSplit w:val="false"/>
        </w:trPr>
        <w:tc>
          <w:tcPr>
            <w:tcW w:type="dxa" w:w="26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bCs/>
                <w:sz w:val="15"/>
                <w:szCs w:val="15"/>
              </w:rPr>
              <w:t xml:space="preserve">21. K.L.D. Nagasree v. Government of India, Ministry of Home Affairs &amp; Ors.</w:t>
            </w:r>
          </w:p>
          <w:p>
            <w:pPr>
              <w:spacing w:after="40"/>
            </w:pPr>
            <w:r>
              <w:rPr>
                <w:rFonts w:ascii="Calibri" w:cs="Calibri" w:eastAsia="Calibri" w:hAnsi="Calibri"/>
                <w:i/>
                <w:iCs/>
                <w:sz w:val="15"/>
                <w:szCs w:val="15"/>
              </w:rPr>
              <w:t xml:space="preserve">Andhra Pradesh High Court (single judge); decided 11 Dec 2006; 2006 SCC OnLine AP 1085 (as cited in P. Kishore para 75). Relied on in Vinit Kumar, P. Kishore, S.M. Mannan and Ravi Shankar Ji Maharaj</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Rule 419A is mandatory. Material obtained by an interception order that breaches s.5(2) and rule 419A "cannot be taken into consideration for any purpose whatsoever".</w:t>
            </w:r>
          </w:p>
        </w:tc>
        <w:tc>
          <w:tcPr>
            <w:tcW w:type="dxa" w:w="4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pStyle w:val="ListParagraph"/>
              <w:numPr>
                <w:ilvl w:val="0"/>
                <w:numId w:val="3"/>
              </w:numPr>
              <w:spacing w:after="30"/>
            </w:pPr>
            <w:r>
              <w:rPr>
                <w:rFonts w:ascii="Calibri" w:cs="Calibri" w:eastAsia="Calibri" w:hAnsi="Calibri"/>
                <w:sz w:val="15"/>
                <w:szCs w:val="15"/>
              </w:rPr>
              <w:t xml:space="preserve">Paras 28–30: object of s.5(2) and rule 419A; the rule is mandatory; role of the Review Committee.</w:t>
            </w:r>
          </w:p>
          <w:p>
            <w:pPr>
              <w:pStyle w:val="ListParagraph"/>
              <w:numPr>
                <w:ilvl w:val="0"/>
                <w:numId w:val="3"/>
              </w:numPr>
              <w:spacing w:after="30"/>
            </w:pPr>
            <w:r>
              <w:rPr>
                <w:rFonts w:ascii="Calibri" w:cs="Calibri" w:eastAsia="Calibri" w:hAnsi="Calibri"/>
                <w:sz w:val="15"/>
                <w:szCs w:val="15"/>
              </w:rPr>
              <w:t xml:space="preserve">Para 31: the consequential interception is unauthorised; the material "cannot be taken into consideration for any purpose whatsoever".</w:t>
            </w:r>
          </w:p>
          <w:p>
            <w:pPr>
              <w:pStyle w:val="ListParagraph"/>
              <w:numPr>
                <w:ilvl w:val="0"/>
                <w:numId w:val="3"/>
              </w:numPr>
              <w:spacing w:after="30"/>
            </w:pPr>
            <w:r>
              <w:rPr>
                <w:rFonts w:ascii="Calibri" w:cs="Calibri" w:eastAsia="Calibri" w:hAnsi="Calibri"/>
                <w:sz w:val="15"/>
                <w:szCs w:val="15"/>
              </w:rPr>
              <w:t xml:space="preserve">Para 32: writ petition allowed; order declared illegal and void; destruction directed.</w:t>
            </w:r>
          </w:p>
        </w:tc>
        <w:tc>
          <w:tcPr>
            <w:tcW w:type="dxa" w:w="24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Affirmed by an AP High Court Division Bench on 20.07.2023 in W.A. No. 70 of 2007 (date and number from the Supreme Court ROP; reported as 2023 SCC OnLine AP 1834 per P. Kishore para 78). The CBI's SLP (Crl.) 5584/2025 was dismissed on 15.04.2025 (Maheshwari and Aravind Kumar JJ) "leaving the question of law open"; the review petition (Diary 65242/2025) was dismissed on 21.01.2026. The Supreme Court therefore did NOT decide the question of law.</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50"/>
            </w:pPr>
            <w:r>
              <w:rPr>
                <w:rFonts w:ascii="Calibri" w:cs="Calibri" w:eastAsia="Calibri" w:hAnsi="Calibri"/>
                <w:sz w:val="15"/>
                <w:szCs w:val="15"/>
              </w:rPr>
              <w:t xml:space="preserve">[IK] 2006 judgment (Indian Kanoon): </w:t>
            </w:r>
            <w:hyperlink w:history="1" r:id="rIddpreub0-98ibphx3lhxus">
              <w:r>
                <w:rPr>
                  <w:rStyle w:val="Hyperlink"/>
                  <w:rFonts w:ascii="Calibri" w:cs="Calibri" w:eastAsia="Calibri" w:hAnsi="Calibri"/>
                  <w:sz w:val="14"/>
                  <w:szCs w:val="14"/>
                </w:rPr>
                <w:t xml:space="preserve">https://indiankanoon.org/doc/161985683/</w:t>
              </w:r>
            </w:hyperlink>
          </w:p>
          <w:p>
            <w:pPr>
              <w:spacing w:after="50"/>
            </w:pPr>
            <w:r>
              <w:rPr>
                <w:rFonts w:ascii="Calibri" w:cs="Calibri" w:eastAsia="Calibri" w:hAnsi="Calibri"/>
                <w:sz w:val="15"/>
                <w:szCs w:val="15"/>
              </w:rPr>
              <w:t xml:space="preserve">[P] SC ROP 15.04.2025 (Indian Kanoon): </w:t>
            </w:r>
            <w:hyperlink w:history="1" r:id="rId7-fiwel86b5wc1pp9uv5b">
              <w:r>
                <w:rPr>
                  <w:rStyle w:val="Hyperlink"/>
                  <w:rFonts w:ascii="Calibri" w:cs="Calibri" w:eastAsia="Calibri" w:hAnsi="Calibri"/>
                  <w:sz w:val="14"/>
                  <w:szCs w:val="14"/>
                </w:rPr>
                <w:t xml:space="preserve">https://indiankanoon.org/doc/125457235/</w:t>
              </w:r>
            </w:hyperlink>
          </w:p>
          <w:p>
            <w:pPr>
              <w:spacing w:after="50"/>
            </w:pPr>
            <w:r>
              <w:rPr>
                <w:rFonts w:ascii="Calibri" w:cs="Calibri" w:eastAsia="Calibri" w:hAnsi="Calibri"/>
                <w:sz w:val="15"/>
                <w:szCs w:val="15"/>
              </w:rPr>
              <w:t xml:space="preserve">[P] SC review order 21.01.2026 (Indian Kanoon): </w:t>
            </w:r>
            <w:hyperlink w:history="1" r:id="rIdpyhcqaeav9t1gh1bpt1kf">
              <w:r>
                <w:rPr>
                  <w:rStyle w:val="Hyperlink"/>
                  <w:rFonts w:ascii="Calibri" w:cs="Calibri" w:eastAsia="Calibri" w:hAnsi="Calibri"/>
                  <w:sz w:val="14"/>
                  <w:szCs w:val="14"/>
                </w:rPr>
                <w:t xml:space="preserve">https://indiankanoon.org/doc/153628091/</w:t>
              </w:r>
            </w:hyperlink>
          </w:p>
        </w:tc>
        <w:tc>
          <w:tcPr>
            <w:tcW w:type="dxa" w:w="1248"/>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Paragraph numbers are from Indian Kanoon; no official PDF of the 2006 judgment was located. The Division Bench judgment of 2023 was not located online.</w:t>
            </w:r>
          </w:p>
        </w:tc>
      </w:tr>
      <w:tr>
        <w:trPr>
          <w:cantSplit w:val="false"/>
        </w:trPr>
        <w:tc>
          <w:tcPr>
            <w:tcW w:type="dxa" w:w="26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bCs/>
                <w:sz w:val="15"/>
                <w:szCs w:val="15"/>
              </w:rPr>
              <w:t xml:space="preserve">22. Jatinder Pal Singh v. Central Bureau of Investigation</w:t>
            </w:r>
          </w:p>
          <w:p>
            <w:pPr>
              <w:spacing w:after="40"/>
            </w:pPr>
            <w:r>
              <w:rPr>
                <w:rFonts w:ascii="Calibri" w:cs="Calibri" w:eastAsia="Calibri" w:hAnsi="Calibri"/>
                <w:i/>
                <w:iCs/>
                <w:sz w:val="15"/>
                <w:szCs w:val="15"/>
              </w:rPr>
              <w:t xml:space="preserve">Delhi High Court; Chandra Dhari Singh J; CRL.M.C. 3118/2012; decided 17 Jan 2022</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Intercepts not placed before the Review Committee under rule 419A could not be relied on; the charges were set aside.</w:t>
            </w:r>
          </w:p>
        </w:tc>
        <w:tc>
          <w:tcPr>
            <w:tcW w:type="dxa" w:w="4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pStyle w:val="ListParagraph"/>
              <w:numPr>
                <w:ilvl w:val="0"/>
                <w:numId w:val="3"/>
              </w:numPr>
              <w:spacing w:after="30"/>
            </w:pPr>
            <w:r>
              <w:rPr>
                <w:rFonts w:ascii="Calibri" w:cs="Calibri" w:eastAsia="Calibri" w:hAnsi="Calibri"/>
                <w:sz w:val="15"/>
                <w:szCs w:val="15"/>
              </w:rPr>
              <w:t xml:space="preserve">Paras 57–59 (pp.57–59): no review by the Review Committee as required by rule 419A (para 57); the mandatory requirements of s.5(2), PUCL and rule 419A(17) were not fulfilled (para 58); reliance on illegally intercepted material would lead to manifest arbitrariness (para 59).</w:t>
            </w:r>
          </w:p>
          <w:p>
            <w:pPr>
              <w:pStyle w:val="ListParagraph"/>
              <w:numPr>
                <w:ilvl w:val="0"/>
                <w:numId w:val="3"/>
              </w:numPr>
              <w:spacing w:after="30"/>
            </w:pPr>
            <w:r>
              <w:rPr>
                <w:rFonts w:ascii="Calibri" w:cs="Calibri" w:eastAsia="Calibri" w:hAnsi="Calibri"/>
                <w:sz w:val="15"/>
                <w:szCs w:val="15"/>
              </w:rPr>
              <w:t xml:space="preserve">Para 83 (p.79): charges set aside.</w:t>
            </w:r>
          </w:p>
        </w:tc>
        <w:tc>
          <w:tcPr>
            <w:tcW w:type="dxa" w:w="24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No appeal located on Indian Kanoon (search as at 30 Oct 2026).</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50"/>
            </w:pPr>
            <w:r>
              <w:rPr>
                <w:rFonts w:ascii="Calibri" w:cs="Calibri" w:eastAsia="Calibri" w:hAnsi="Calibri"/>
                <w:sz w:val="15"/>
                <w:szCs w:val="15"/>
              </w:rPr>
              <w:t xml:space="preserve">[IK] Judgment (Indian Kanoon; digitally signed DHC text): </w:t>
            </w:r>
            <w:hyperlink w:history="1" r:id="rIdafom9rzmupmseo7kzngpx">
              <w:r>
                <w:rPr>
                  <w:rStyle w:val="Hyperlink"/>
                  <w:rFonts w:ascii="Calibri" w:cs="Calibri" w:eastAsia="Calibri" w:hAnsi="Calibri"/>
                  <w:sz w:val="14"/>
                  <w:szCs w:val="14"/>
                </w:rPr>
                <w:t xml:space="preserve">https://indiankanoon.org/doc/183922940/</w:t>
              </w:r>
            </w:hyperlink>
          </w:p>
        </w:tc>
        <w:tc>
          <w:tcPr>
            <w:tcW w:type="dxa" w:w="1248"/>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Page numbers refer to the 80-page signed judgment as reproduced on Indian Kanoon.</w:t>
            </w:r>
          </w:p>
        </w:tc>
      </w:tr>
      <w:tr>
        <w:trPr>
          <w:cantSplit w:val="false"/>
        </w:trPr>
        <w:tc>
          <w:tcPr>
            <w:tcW w:type="dxa" w:w="26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bCs/>
                <w:sz w:val="15"/>
                <w:szCs w:val="15"/>
              </w:rPr>
              <w:t xml:space="preserve">23. Dr. S.M. Mannan v. Central Bureau of Investigation (Anti-Corruption Branch)</w:t>
            </w:r>
          </w:p>
          <w:p>
            <w:pPr>
              <w:spacing w:after="40"/>
            </w:pPr>
            <w:r>
              <w:rPr>
                <w:rFonts w:ascii="Calibri" w:cs="Calibri" w:eastAsia="Calibri" w:hAnsi="Calibri"/>
                <w:i/>
                <w:iCs/>
                <w:sz w:val="15"/>
                <w:szCs w:val="15"/>
              </w:rPr>
              <w:t xml:space="preserve">Karnataka High Court; M. Nagaprasanna J; W.P. No. 24119 of 2022; decided 22 Apr 2024</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An interception order that merely recited "public safety" in a bribery case was illegal; the wiretap "would cut at the root" of the prosecution, and the proceedings were quashed.</w:t>
            </w:r>
          </w:p>
        </w:tc>
        <w:tc>
          <w:tcPr>
            <w:tcW w:type="dxa" w:w="4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pStyle w:val="ListParagraph"/>
              <w:numPr>
                <w:ilvl w:val="0"/>
                <w:numId w:val="3"/>
              </w:numPr>
              <w:spacing w:after="30"/>
            </w:pPr>
            <w:r>
              <w:rPr>
                <w:rFonts w:ascii="Calibri" w:cs="Calibri" w:eastAsia="Calibri" w:hAnsi="Calibri"/>
                <w:sz w:val="15"/>
                <w:szCs w:val="15"/>
              </w:rPr>
              <w:t xml:space="preserve">Para 12 (judgment pp.37–38): "I fail to understand what public safety or public emergency was involved in the case at hand"; the wiretapping was illegal.</w:t>
            </w:r>
          </w:p>
          <w:p>
            <w:pPr>
              <w:pStyle w:val="ListParagraph"/>
              <w:numPr>
                <w:ilvl w:val="0"/>
                <w:numId w:val="3"/>
              </w:numPr>
              <w:spacing w:after="30"/>
            </w:pPr>
            <w:r>
              <w:rPr>
                <w:rFonts w:ascii="Calibri" w:cs="Calibri" w:eastAsia="Calibri" w:hAnsi="Calibri"/>
                <w:sz w:val="15"/>
                <w:szCs w:val="15"/>
              </w:rPr>
              <w:t xml:space="preserve">Paras 13–14: reliance on Jatinder Pal Singh and K.L.D. Nagasree.</w:t>
            </w:r>
          </w:p>
          <w:p>
            <w:pPr>
              <w:pStyle w:val="ListParagraph"/>
              <w:numPr>
                <w:ilvl w:val="0"/>
                <w:numId w:val="3"/>
              </w:numPr>
              <w:spacing w:after="30"/>
            </w:pPr>
            <w:r>
              <w:rPr>
                <w:rFonts w:ascii="Calibri" w:cs="Calibri" w:eastAsia="Calibri" w:hAnsi="Calibri"/>
                <w:sz w:val="15"/>
                <w:szCs w:val="15"/>
              </w:rPr>
              <w:t xml:space="preserve">Para 23: writ petition allowed; criminal proceedings quashed.</w:t>
            </w:r>
          </w:p>
        </w:tc>
        <w:tc>
          <w:tcPr>
            <w:tcW w:type="dxa" w:w="24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UNDER CHALLENGE: the CBI's SLP (Crl.) No. 15787/2024 is pending in the Supreme Court (notice 11.11.2024; ROPs 08.01.2025 and 23.04.2025). No stay order located.</w:t>
            </w:r>
          </w:p>
        </w:tc>
        <w:tc>
          <w:tcPr>
            <w:tcW w:type="dxa" w:w="235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50"/>
            </w:pPr>
            <w:r>
              <w:rPr>
                <w:rFonts w:ascii="Calibri" w:cs="Calibri" w:eastAsia="Calibri" w:hAnsi="Calibri"/>
                <w:sz w:val="15"/>
                <w:szCs w:val="15"/>
              </w:rPr>
              <w:t xml:space="preserve">[IK] HC judgment (Indian Kanoon): </w:t>
            </w:r>
            <w:hyperlink w:history="1" r:id="rIdc4wvbitdipofe7ry_fded">
              <w:r>
                <w:rPr>
                  <w:rStyle w:val="Hyperlink"/>
                  <w:rFonts w:ascii="Calibri" w:cs="Calibri" w:eastAsia="Calibri" w:hAnsi="Calibri"/>
                  <w:sz w:val="14"/>
                  <w:szCs w:val="14"/>
                </w:rPr>
                <w:t xml:space="preserve">https://indiankanoon.org/doc/166108431/</w:t>
              </w:r>
            </w:hyperlink>
          </w:p>
          <w:p>
            <w:pPr>
              <w:spacing w:after="50"/>
            </w:pPr>
            <w:r>
              <w:rPr>
                <w:rFonts w:ascii="Calibri" w:cs="Calibri" w:eastAsia="Calibri" w:hAnsi="Calibri"/>
                <w:sz w:val="15"/>
                <w:szCs w:val="15"/>
              </w:rPr>
              <w:t xml:space="preserve">[P] SC ROP 11.11.2024 (Indian Kanoon): </w:t>
            </w:r>
            <w:hyperlink w:history="1" r:id="rId9qrg-flnnotk1gug755sx">
              <w:r>
                <w:rPr>
                  <w:rStyle w:val="Hyperlink"/>
                  <w:rFonts w:ascii="Calibri" w:cs="Calibri" w:eastAsia="Calibri" w:hAnsi="Calibri"/>
                  <w:sz w:val="14"/>
                  <w:szCs w:val="14"/>
                </w:rPr>
                <w:t xml:space="preserve">https://indiankanoon.org/doc/177209414/</w:t>
              </w:r>
            </w:hyperlink>
          </w:p>
          <w:p>
            <w:pPr>
              <w:spacing w:after="50"/>
            </w:pPr>
            <w:r>
              <w:rPr>
                <w:rFonts w:ascii="Calibri" w:cs="Calibri" w:eastAsia="Calibri" w:hAnsi="Calibri"/>
                <w:sz w:val="15"/>
                <w:szCs w:val="15"/>
              </w:rPr>
              <w:t xml:space="preserve">[P] SC ROP 23.04.2025 (Indian Kanoon): </w:t>
            </w:r>
            <w:hyperlink w:history="1" r:id="rIdkecq0lremeu8wj9ojcqng">
              <w:r>
                <w:rPr>
                  <w:rStyle w:val="Hyperlink"/>
                  <w:rFonts w:ascii="Calibri" w:cs="Calibri" w:eastAsia="Calibri" w:hAnsi="Calibri"/>
                  <w:sz w:val="14"/>
                  <w:szCs w:val="14"/>
                </w:rPr>
                <w:t xml:space="preserve">https://indiankanoon.org/doc/54916922/</w:t>
              </w:r>
            </w:hyperlink>
          </w:p>
        </w:tc>
        <w:tc>
          <w:tcPr>
            <w:tcW w:type="dxa" w:w="1248"/>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sz w:val="15"/>
                <w:szCs w:val="15"/>
              </w:rPr>
              <w:t xml:space="preserve">Paragraph numbers are the court's own (paras 10–23), distinguished from paragraphs it quotes from other judgments.</w:t>
            </w:r>
          </w:p>
        </w:tc>
      </w:tr>
    </w:tbl>
    <w:p>
      <w:pPr>
        <w:spacing w:after="80"/>
      </w:pPr>
      <w:r>
        <w:rPr>
          <w:rFonts w:ascii="Calibri" w:cs="Calibri" w:eastAsia="Calibri" w:hAnsi="Calibri"/>
          <w:sz w:val="19"/>
          <w:szCs w:val="19"/>
        </w:rPr>
        <w:t xml:space="preserve"/>
      </w:r>
    </w:p>
    <w:p>
      <w:pPr>
        <w:spacing w:after="80"/>
      </w:pPr>
      <w:r>
        <w:rPr>
          <w:rFonts w:ascii="Calibri" w:cs="Calibri" w:eastAsia="Calibri" w:hAnsi="Calibri"/>
          <w:sz w:val="19"/>
          <w:szCs w:val="19"/>
        </w:rPr>
        <w:t xml:space="preserve">Not covered: secondary materials that are not judgments (e.g. the Human Rights Watch statement of 26 Aug 2021), and cases that the judgments merely cite without being relied on in the DTIA.</w:t>
      </w:r>
    </w:p>
    <w:sectPr>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4"/>
        <w:szCs w:val="14"/>
      </w:rPr>
      <w:t xml:space="preserve">DTIA India – case-law table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80" w:hanging="16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giz7igxrh9wefdok4mtl" Type="http://schemas.openxmlformats.org/officeDocument/2006/relationships/hyperlink" Target="https://api.sci.gov.in/jonew/judis/14584.pdf" TargetMode="External"/><Relationship Id="rIdhixoo0u1erkip1rbmxuki" Type="http://schemas.openxmlformats.org/officeDocument/2006/relationships/hyperlink" Target="https://indiankanoon.org/doc/31276692/" TargetMode="External"/><Relationship Id="rIdhhfhkb4pkuaptbtbzndd7" Type="http://schemas.openxmlformats.org/officeDocument/2006/relationships/hyperlink" Target="https://api.sci.gov.in/supremecourt/2012/35071/35071_2012_Judgement_24-Aug-2017.pdf" TargetMode="External"/><Relationship Id="rIdnsmtu6alzruxqy9m8ytk7" Type="http://schemas.openxmlformats.org/officeDocument/2006/relationships/hyperlink" Target="https://indiankanoon.org/doc/91938676/" TargetMode="External"/><Relationship Id="rIdwk--foufoeraqjeoh0ogk" Type="http://schemas.openxmlformats.org/officeDocument/2006/relationships/hyperlink" Target="https://globalfreedomofexpression.columbia.edu/wp-content/uploads/2019/12/Official-Judgment.pdf" TargetMode="External"/><Relationship Id="rId8ovogofabsgjb4qgvmwip" Type="http://schemas.openxmlformats.org/officeDocument/2006/relationships/hyperlink" Target="https://indiankanoon.org/doc/107953018/" TargetMode="External"/><Relationship Id="rIdekzh9yicqxq7_vutdxnbh" Type="http://schemas.openxmlformats.org/officeDocument/2006/relationships/hyperlink" Target="https://indiankanoon.org/doc/162808939/" TargetMode="External"/><Relationship Id="rIdlnfjk_t9ohzi26u0nti5z" Type="http://schemas.openxmlformats.org/officeDocument/2006/relationships/hyperlink" Target="https://api.sci.gov.in/officereport/2020/1353/1353_2020_2020-02-10_195.html" TargetMode="External"/><Relationship Id="rIdjavstnyj2hwi1xqebwf3k" Type="http://schemas.openxmlformats.org/officeDocument/2006/relationships/hyperlink" Target="https://indiankanoon.org/doc/180071189/" TargetMode="External"/><Relationship Id="rId06ybztgn8ynt26puqwnap" Type="http://schemas.openxmlformats.org/officeDocument/2006/relationships/hyperlink" Target="https://indiankanoon.org/doc/31142618/" TargetMode="External"/><Relationship Id="rIddi4pwgxs72lgvsrpwspba" Type="http://schemas.openxmlformats.org/officeDocument/2006/relationships/hyperlink" Target="https://indiankanoon.org/doc/61475422/" TargetMode="External"/><Relationship Id="rId7cu7wpa-my_yjdi_l79fp" Type="http://schemas.openxmlformats.org/officeDocument/2006/relationships/hyperlink" Target="https://indiankanoon.org/doc/20444095/" TargetMode="External"/><Relationship Id="rIdufea_fcpa6og0q8ihdgux" Type="http://schemas.openxmlformats.org/officeDocument/2006/relationships/hyperlink" Target="https://api.sci.gov.in/supremecourt/2021/16884/16884_2021_1_1501_30827_Judgement_27-Oct-2021.pdf" TargetMode="External"/><Relationship Id="rIddkrnz-gy1l5peepmva4ky" Type="http://schemas.openxmlformats.org/officeDocument/2006/relationships/hyperlink" Target="https://indiankanoon.org/doc/39021018/" TargetMode="External"/><Relationship Id="rId9ofd668geczrs5gjklnl8" Type="http://schemas.openxmlformats.org/officeDocument/2006/relationships/hyperlink" Target="https://indiankanoon.org/doc/117902715/" TargetMode="External"/><Relationship Id="rIdlrljtdkgwchcx1dzovcxx" Type="http://schemas.openxmlformats.org/officeDocument/2006/relationships/hyperlink" Target="https://indiankanoon.org/doc/96841127/" TargetMode="External"/><Relationship Id="rIdmu6r9tzyvcmgg1sve8_xz" Type="http://schemas.openxmlformats.org/officeDocument/2006/relationships/hyperlink" Target="https://api.sci.gov.in/supremecourt/2012/35071/35071_2012_Judgement_26-Sep-2018.pdf" TargetMode="External"/><Relationship Id="rIdw6aanf0zw95vkjqxkum-u" Type="http://schemas.openxmlformats.org/officeDocument/2006/relationships/hyperlink" Target="https://indiankanoon.org/doc/127517806/" TargetMode="External"/><Relationship Id="rId7vh_itfpvwau2ei85cgjh" Type="http://schemas.openxmlformats.org/officeDocument/2006/relationships/hyperlink" Target="https://itatonline.org/digest/wp-content/uploads/2025/11/judgment-356192025-31-10-2025-628506.pdf" TargetMode="External"/><Relationship Id="rIdl-ftysmifhu2i3opershw" Type="http://schemas.openxmlformats.org/officeDocument/2006/relationships/hyperlink" Target="https://www.livelaw.in/pdf_upload/2025-livelaw-sc-1051-in-re-summoning-advocates-31-oct-2025-631600.pdf" TargetMode="External"/><Relationship Id="rIdamsnbvwgyg72cvp8zvevh" Type="http://schemas.openxmlformats.org/officeDocument/2006/relationships/hyperlink" Target="https://indiankanoon.org/doc/129103050/" TargetMode="External"/><Relationship Id="rIdaivwxvbx_zqjzqkivaket" Type="http://schemas.openxmlformats.org/officeDocument/2006/relationships/hyperlink" Target="https://images.assettype.com/barandbench/2025-07-02/p0h6ap6z/P__Kishore_v__The_Secretary_to_Government.pdf" TargetMode="External"/><Relationship Id="rId6xofniw0pjy1ttrtk5gmv" Type="http://schemas.openxmlformats.org/officeDocument/2006/relationships/hyperlink" Target="https://indiankanoon.org/doc/144183758/" TargetMode="External"/><Relationship Id="rIde9s1foebtqvuaocukzj8l" Type="http://schemas.openxmlformats.org/officeDocument/2006/relationships/hyperlink" Target="https://delhihighcourt.nic.in/files/2025-06/announcements/jud-26062025.pdf" TargetMode="External"/><Relationship Id="rIdnqovxdmsyxhwbecy58jya" Type="http://schemas.openxmlformats.org/officeDocument/2006/relationships/hyperlink" Target="https://lawchakra.in/wp-content/uploads/2025/07/LawChakra-AAKASH-DEEP-CHOUHAN-versus-CBI-ANR.pdf" TargetMode="External"/><Relationship Id="rIdllct7en061ipb0-aco8ci" Type="http://schemas.openxmlformats.org/officeDocument/2006/relationships/hyperlink" Target="https://indiankanoon.org/doc/75448850/" TargetMode="External"/><Relationship Id="rIduqt5frkx7a5boa0g_ku_c" Type="http://schemas.openxmlformats.org/officeDocument/2006/relationships/hyperlink" Target="https://images.assettype.com/barandbench/2026-08-07/ogupaz45/Shri_Ravi_Shankar_Ji_Maharaj_vs_CBI_and_ors_.pdf" TargetMode="External"/><Relationship Id="rIdjwuutzqouukm103jug7ty" Type="http://schemas.openxmlformats.org/officeDocument/2006/relationships/hyperlink" Target="https://indiankanoon.org/doc/170552958/" TargetMode="External"/><Relationship Id="rId_duubucyfygybeiexpdoc" Type="http://schemas.openxmlformats.org/officeDocument/2006/relationships/hyperlink" Target="https://images.assettype.com/barandbench/2025-09-27/zm5a4acm/X_corp_Vs_Union_of_India.pdf" TargetMode="External"/><Relationship Id="rIdi6jn7aimrvqh-fqrww0k4" Type="http://schemas.openxmlformats.org/officeDocument/2006/relationships/hyperlink" Target="https://indiankanoon.org/doc/7614885/" TargetMode="External"/><Relationship Id="rIdrsobwkqkvfeq2mxyvq1o1" Type="http://schemas.openxmlformats.org/officeDocument/2006/relationships/hyperlink" Target="https://api.sci.gov.in/supremecourt/2019/28817/28817_2019_2_1501_19350_Judgement_10-Jan-2020.pdf" TargetMode="External"/><Relationship Id="rId5brf8oqstlipcxf3fpo5a" Type="http://schemas.openxmlformats.org/officeDocument/2006/relationships/hyperlink" Target="https://indiankanoon.org/doc/82461587/" TargetMode="External"/><Relationship Id="rId2fx-vuk4c7l_ino7ljdjx" Type="http://schemas.openxmlformats.org/officeDocument/2006/relationships/hyperlink" Target="https://api.sci.gov.in/supremecourt/2024/57510/57510_2024_5_86_58074_Order_13-Dec-2024.pdf" TargetMode="External"/><Relationship Id="rIdru5zhhtkxeanpo5j6cw37" Type="http://schemas.openxmlformats.org/officeDocument/2006/relationships/hyperlink" Target="https://indiankanoon.org/doc/8005960/" TargetMode="External"/><Relationship Id="rId4m1qfxvzvb9ttsbkrwsom" Type="http://schemas.openxmlformats.org/officeDocument/2006/relationships/hyperlink" Target="https://indiankanoon.org/doc/25058995/" TargetMode="External"/><Relationship Id="rIdggarkje2otkumjv3mexgy" Type="http://schemas.openxmlformats.org/officeDocument/2006/relationships/hyperlink" Target="https://main.sci.gov.in/supremecourt/2022/29892/29892_2022_2_802_47504_Order_09-Oct-2023.pdf" TargetMode="External"/><Relationship Id="rIdn9zqwzyo9fucyclzt-kak" Type="http://schemas.openxmlformats.org/officeDocument/2006/relationships/hyperlink" Target="https://indiankanoon.org/doc/89801401/" TargetMode="External"/><Relationship Id="rIdjh5nq2nxwtpwchpqgb4p8" Type="http://schemas.openxmlformats.org/officeDocument/2006/relationships/hyperlink" Target="https://indiankanoon.org/doc/25058995/" TargetMode="External"/><Relationship Id="rIdanxoqd2_xgypcf2f5g4ql" Type="http://schemas.openxmlformats.org/officeDocument/2006/relationships/hyperlink" Target="https://www.livelaw.in/pdf_upload/2026/02/18/776520262026-02-16-656727.pdf" TargetMode="External"/><Relationship Id="rId9asqiyikw0vo62jdxrxcn" Type="http://schemas.openxmlformats.org/officeDocument/2006/relationships/hyperlink" Target="https://indiankanoon.org/doc/15439728/" TargetMode="External"/><Relationship Id="rIdv7tuztmg9htwzw3fkrhy_" Type="http://schemas.openxmlformats.org/officeDocument/2006/relationships/hyperlink" Target="https://indiankanoon.org/doc/168596788/" TargetMode="External"/><Relationship Id="rIdpveior9wxm_0euzofijfw" Type="http://schemas.openxmlformats.org/officeDocument/2006/relationships/hyperlink" Target="https://www.scobserver.in/wp-content/uploads/2026/02/Venkatesh-Nayak-v-Union-of-India-Writ-Petition.pdf" TargetMode="External"/><Relationship Id="rIdzjna_5s2pvdtjxkewrwce" Type="http://schemas.openxmlformats.org/officeDocument/2006/relationships/hyperlink" Target="https://indiankanoon.org/doc/140217908/" TargetMode="External"/><Relationship Id="rIdmvgpnfi_zevlen1258bho" Type="http://schemas.openxmlformats.org/officeDocument/2006/relationships/hyperlink" Target="https://www.livelaw.in/top-stories/newsrooms-will-shutdown-digital-wings-of-legacy-media-move-supreme-court-challenging-personal-data-protection-law-556103" TargetMode="External"/><Relationship Id="rIdsrk7qvlyglzz6o-_slcmx" Type="http://schemas.openxmlformats.org/officeDocument/2006/relationships/hyperlink" Target="https://indiankanoon.org/doc/62459562/" TargetMode="External"/><Relationship Id="rIdvz2c0f0fepvr7qqt46rzv" Type="http://schemas.openxmlformats.org/officeDocument/2006/relationships/hyperlink" Target="https://www.livelaw.in/top-stories/challenge-against-69-it-act-and-mha-notification-on-monitoring-computers-sc-issues-notice-to-centre-142098" TargetMode="External"/><Relationship Id="rId8ivxneddq72nfbbzgljpu" Type="http://schemas.openxmlformats.org/officeDocument/2006/relationships/hyperlink" Target="https://www.newsclick.in/mha-surveillance-order-sc-issues-notice-centre" TargetMode="External"/><Relationship Id="rIdk4ne_fenumgytw6ni2x-i" Type="http://schemas.openxmlformats.org/officeDocument/2006/relationships/hyperlink" Target="https://eur-lex.europa.eu/legal-content/EN/TXT/?uri=CELEX:62023TJ0553" TargetMode="External"/><Relationship Id="rIdpq-dphrjckmprp1euu3qy" Type="http://schemas.openxmlformats.org/officeDocument/2006/relationships/hyperlink" Target="https://curia.europa.eu/juris/liste.jsf?num=C-703/25" TargetMode="External"/><Relationship Id="rIddpreub0-98ibphx3lhxus" Type="http://schemas.openxmlformats.org/officeDocument/2006/relationships/hyperlink" Target="https://indiankanoon.org/doc/161985683/" TargetMode="External"/><Relationship Id="rId7-fiwel86b5wc1pp9uv5b" Type="http://schemas.openxmlformats.org/officeDocument/2006/relationships/hyperlink" Target="https://indiankanoon.org/doc/125457235/" TargetMode="External"/><Relationship Id="rIdpyhcqaeav9t1gh1bpt1kf" Type="http://schemas.openxmlformats.org/officeDocument/2006/relationships/hyperlink" Target="https://indiankanoon.org/doc/153628091/" TargetMode="External"/><Relationship Id="rIdafom9rzmupmseo7kzngpx" Type="http://schemas.openxmlformats.org/officeDocument/2006/relationships/hyperlink" Target="https://indiankanoon.org/doc/183922940/" TargetMode="External"/><Relationship Id="rIdc4wvbitdipofe7ry_fded" Type="http://schemas.openxmlformats.org/officeDocument/2006/relationships/hyperlink" Target="https://indiankanoon.org/doc/166108431/" TargetMode="External"/><Relationship Id="rId9qrg-flnnotk1gug755sx" Type="http://schemas.openxmlformats.org/officeDocument/2006/relationships/hyperlink" Target="https://indiankanoon.org/doc/177209414/" TargetMode="External"/><Relationship Id="rIdkecq0lremeu8wj9ojcqng" Type="http://schemas.openxmlformats.org/officeDocument/2006/relationships/hyperlink" Target="https://indiankanoon.org/doc/54916922/" TargetMode="External"/><Relationship Id="rId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DTIA India – Case-law table (30 October 2026)</dc:title>
  <dc:creator>Claude</dc:creator>
  <cp:lastModifiedBy>Un-named</cp:lastModifiedBy>
  <cp:revision>1</cp:revision>
  <dcterms:created xsi:type="dcterms:W3CDTF">2026-10-30T04:39:34.373Z</dcterms:created>
  <dcterms:modified xsi:type="dcterms:W3CDTF">2026-10-30T04:39:34.384Z</dcterms:modified>
</cp:coreProperties>
</file>

<file path=docProps/custom.xml><?xml version="1.0" encoding="utf-8"?>
<Properties xmlns="http://schemas.openxmlformats.org/officeDocument/2006/custom-properties" xmlns:vt="http://schemas.openxmlformats.org/officeDocument/2006/docPropsVTypes"/>
</file>