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0E3D64"/>
          <w:sz w:val="28"/>
        </w:rPr>
        <w:t>FORMAT JURNAL GURU IMPLEMENTASI KBC</w:t>
      </w:r>
    </w:p>
    <w:p>
      <w:pPr>
        <w:jc w:val="center"/>
      </w:pPr>
      <w:r>
        <w:rPr>
          <w:rFonts w:ascii="Liberation Sans" w:hAnsi="Liberation Sans" w:eastAsia="Liberation Sans"/>
          <w:b/>
          <w:color w:val="AE8625"/>
          <w:sz w:val="22"/>
        </w:rPr>
        <w:t>Pembelajaran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rHeight w:val="68"/>
        </w:trPr>
        <w:tc>
          <w:tcPr>
            <w:tcW w:type="dxa" w:w="10036"/>
            <w:shd w:fill="0E3D6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NSM/NPSN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Alamat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Kecamatan/Kabupaten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Tahun Pelajaran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[20.... / 20....]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Kepala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Guru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Kelas/Mapel/Tema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Bulan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036"/>
      </w:tblGrid>
      <w:tr>
        <w:tc>
          <w:tcPr>
            <w:tcW w:type="dxa" w:w="10036"/>
            <w:shd w:fill="E2F0D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Jurnal ini digunakan guru untuk mencatat integrasi nilai KBC dalam pembelajaran harian/mingguan dan menjadi eviden implementasi KBC.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Jurnal Harian/Mingguan Guru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54"/>
        <w:gridCol w:w="1254"/>
        <w:gridCol w:w="1254"/>
        <w:gridCol w:w="1254"/>
        <w:gridCol w:w="1254"/>
        <w:gridCol w:w="1254"/>
        <w:gridCol w:w="1254"/>
        <w:gridCol w:w="1254"/>
      </w:tblGrid>
      <w:tr>
        <w:trPr>
          <w:tblHeader w:val="true"/>
        </w:trPr>
        <w:tc>
          <w:tcPr>
            <w:tcW w:type="dxa" w:w="45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3"/>
              </w:rPr>
              <w:t>No</w:t>
            </w:r>
          </w:p>
        </w:tc>
        <w:tc>
          <w:tcPr>
            <w:tcW w:type="dxa" w:w="107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3"/>
              </w:rPr>
              <w:t>Tanggal</w:t>
            </w:r>
          </w:p>
        </w:tc>
        <w:tc>
          <w:tcPr>
            <w:tcW w:type="dxa" w:w="181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3"/>
              </w:rPr>
              <w:t>Materi/Kegiatan</w:t>
            </w:r>
          </w:p>
        </w:tc>
        <w:tc>
          <w:tcPr>
            <w:tcW w:type="dxa" w:w="147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3"/>
              </w:rPr>
              <w:t>Nilai KBC</w:t>
            </w:r>
          </w:p>
        </w:tc>
        <w:tc>
          <w:tcPr>
            <w:tcW w:type="dxa" w:w="192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3"/>
              </w:rPr>
              <w:t>Strategi Guru</w:t>
            </w:r>
          </w:p>
        </w:tc>
        <w:tc>
          <w:tcPr>
            <w:tcW w:type="dxa" w:w="192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3"/>
              </w:rPr>
              <w:t>Perilaku Positif Siswa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3"/>
              </w:rPr>
              <w:t>Kendala</w:t>
            </w:r>
          </w:p>
        </w:tc>
        <w:tc>
          <w:tcPr>
            <w:tcW w:type="dxa" w:w="215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3"/>
              </w:rPr>
              <w:t>Tindak Lanjut/Eviden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07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3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Rekap Refleksi Bulanan Guru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11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Aspek Refleksi</w:t>
            </w:r>
          </w:p>
        </w:tc>
        <w:tc>
          <w:tcPr>
            <w:tcW w:type="dxa" w:w="6520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Uraian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Praktik baik yang berhasil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Perubahan perilaku/iklim kelas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Kendala utama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Dukungan yang dibutuhkan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Rencana perbaikan bulan berikutnya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</w:tbl>
    <w:p/>
    <w:p>
      <w:pPr>
        <w:jc w:val="right"/>
      </w:pPr>
      <w:r>
        <w:rPr>
          <w:rFonts w:ascii="Liberation Sans" w:hAnsi="Liberation Sans" w:eastAsia="Liberation Sans"/>
          <w:sz w:val="20"/>
        </w:rPr>
        <w:t>[Tempat], [Tanggal Bulan Tahun]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Mengetahui,</w:t>
              <w:br/>
              <w:t>Kepala Madrasah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Guru Pengampu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sz w:val="16"/>
      </w:rPr>
      <w:t xml:space="preserve">Format Eviden Implementasi KBC - [Nama Madrasah] | </w:t>
    </w:r>
    <w:r>
      <w:rPr>
        <w:rFonts w:ascii="Liberation Sans" w:hAnsi="Liberation Sans"/>
        <w:sz w:val="16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 w:eastAsia="Liberation Sans"/>
        <w:b/>
        <w:sz w:val="18"/>
      </w:rPr>
      <w:t>KOP MADRASAH / LOGO MADRASAH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0E3D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