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LAPORAN PELAKSANAAN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Laporan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Periode Laporan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Penyusun Laporan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BAB I. Pendahuluan</w:t>
      </w:r>
    </w:p>
    <w:p>
      <w:r>
        <w:rPr>
          <w:rFonts w:ascii="Liberation Sans" w:hAnsi="Liberation Sans" w:eastAsia="Liberation Sans"/>
          <w:b/>
          <w:sz w:val="20"/>
        </w:rPr>
        <w:t xml:space="preserve">Latar belakang: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Tujuan pelaksanaan: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Sasaran program: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BAB II. Pelaksanaan Program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No</w:t>
            </w:r>
          </w:p>
        </w:tc>
        <w:tc>
          <w:tcPr>
            <w:tcW w:type="dxa" w:w="238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Kegiatan</w:t>
            </w:r>
          </w:p>
        </w:tc>
        <w:tc>
          <w:tcPr>
            <w:tcW w:type="dxa" w:w="136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Tanggal</w:t>
            </w:r>
          </w:p>
        </w:tc>
        <w:tc>
          <w:tcPr>
            <w:tcW w:type="dxa" w:w="147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Sasaran</w:t>
            </w:r>
          </w:p>
        </w:tc>
        <w:tc>
          <w:tcPr>
            <w:tcW w:type="dxa" w:w="158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Nilai KBC</w:t>
            </w:r>
          </w:p>
        </w:tc>
        <w:tc>
          <w:tcPr>
            <w:tcW w:type="dxa" w:w="238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Hasil Singkat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Sosialisasi KBC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Penyusunan perangkat ajar berbasis cinta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Kegiatan pembiasaan/budaya madrasah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Refleksi dan tindak lanjut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BAB III. Hasil dan Capaian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Aspek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Capaian/Kondisi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Kendala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Tindak Lanjut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Perencanaan KBC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Pembelajaran berbasis cinta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Budaya madrasah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Eviden dan dokumentasi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Evaluasi/refleksi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BAB IV. Rekomendasi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34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Rekomendasi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Penanggung Jawab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Batas Waktu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BAB V. Penutup</w:t>
      </w:r>
    </w:p>
    <w:p>
      <w:r>
        <w:rPr>
          <w:rFonts w:ascii="Liberation Sans" w:hAnsi="Liberation Sans" w:eastAsia="Liberation Sans"/>
          <w:b/>
          <w:sz w:val="20"/>
        </w:rPr>
        <w:t xml:space="preserve">Kesimpulan umum pelaksanaan KBC: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Harapan dan komitmen madrasah: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Penyusun Laporan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