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ind w:hanging="0" w:end="0"/>
        <w:jc w:val="center"/>
        <w:rPr>
          <w:rFonts w:eastAsia="楷体_GB2312;楷体"/>
          <w:bCs/>
          <w:color w:val="000000"/>
          <w:sz w:val="52"/>
          <w:szCs w:val="52"/>
        </w:rPr>
      </w:pPr>
      <w:r>
        <w:rPr>
          <w:rFonts w:eastAsia="楷体_GB2312;楷体"/>
          <w:bCs/>
          <w:color w:val="000000"/>
          <w:sz w:val="52"/>
          <w:szCs w:val="52"/>
        </w:rPr>
        <w:t>南京工程学院</w:t>
      </w:r>
    </w:p>
    <w:p>
      <w:pPr>
        <w:pStyle w:val="BodyTextIndent"/>
        <w:spacing w:before="312" w:after="0"/>
        <w:ind w:hanging="0" w:end="0"/>
        <w:jc w:val="center"/>
        <w:rPr>
          <w:color w:val="000000"/>
          <w:sz w:val="44"/>
          <w:szCs w:val="44"/>
        </w:rPr>
      </w:pPr>
      <w:r>
        <w:rPr>
          <w:color w:val="000000"/>
          <w:sz w:val="44"/>
          <w:szCs w:val="44"/>
        </w:rPr>
        <w:t>通信与信息工程学院、集成电路学院</w:t>
      </w:r>
    </w:p>
    <w:p>
      <w:pPr>
        <w:pStyle w:val="BodyTextIndent"/>
        <w:spacing w:before="312" w:after="0"/>
        <w:ind w:hanging="0" w:end="0"/>
        <w:jc w:val="center"/>
        <w:rPr>
          <w:b/>
          <w:color w:val="000000"/>
          <w:sz w:val="72"/>
          <w:szCs w:val="84"/>
        </w:rPr>
      </w:pPr>
      <w:r>
        <w:rPr>
          <w:b/>
          <w:color w:val="000000"/>
          <w:sz w:val="72"/>
          <w:szCs w:val="84"/>
        </w:rPr>
        <w:t>实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验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报</w:t>
      </w:r>
      <w:r>
        <w:rPr>
          <w:rFonts w:eastAsia="Times New Roman"/>
          <w:b/>
          <w:color w:val="000000"/>
          <w:sz w:val="72"/>
          <w:szCs w:val="84"/>
        </w:rPr>
        <w:t xml:space="preserve">  </w:t>
      </w:r>
      <w:r>
        <w:rPr>
          <w:b/>
          <w:color w:val="000000"/>
          <w:sz w:val="72"/>
          <w:szCs w:val="84"/>
        </w:rPr>
        <w:t>告</w:t>
      </w:r>
    </w:p>
    <w:p>
      <w:pPr>
        <w:pStyle w:val="Normal"/>
        <w:spacing w:lineRule="auto" w:line="360"/>
        <w:rPr>
          <w:rFonts w:ascii="仿宋_GB2312" w:hAnsi="仿宋_GB2312" w:eastAsia="仿宋_GB2312" w:cs="仿宋_GB2312"/>
          <w:b w:val="false"/>
          <w:color w:val="000000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color w:val="000000"/>
          <w:sz w:val="28"/>
          <w:szCs w:val="28"/>
        </w:rPr>
      </w:r>
    </w:p>
    <w:p>
      <w:pPr>
        <w:pStyle w:val="Normal"/>
        <w:spacing w:lineRule="auto" w:line="360"/>
        <w:rPr>
          <w:rFonts w:ascii="仿宋_GB2312" w:hAnsi="仿宋_GB2312" w:eastAsia="仿宋_GB2312" w:cs="仿宋_GB2312"/>
          <w:b w:val="false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sz w:val="28"/>
          <w:szCs w:val="28"/>
        </w:rPr>
      </w:r>
    </w:p>
    <w:p>
      <w:pPr>
        <w:pStyle w:val="Normal"/>
        <w:spacing w:lineRule="auto" w:line="360"/>
        <w:ind w:firstLine="1258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课程名称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/>
          <w:b w:val="false"/>
          <w:sz w:val="32"/>
          <w:szCs w:val="32"/>
          <w:u w:val="single"/>
        </w:rPr>
        <w:t>Python Web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开发技术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774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48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实验项目名称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/>
          <w:b w:val="false"/>
          <w:sz w:val="32"/>
          <w:szCs w:val="32"/>
          <w:u w:val="single"/>
        </w:rPr>
        <w:t>案例数据分析（深度学习）</w:t>
      </w:r>
      <w:r>
        <w:rPr>
          <w:rFonts w:eastAsia="Times New Roman"/>
          <w:b w:val="false"/>
          <w:sz w:val="32"/>
          <w:szCs w:val="32"/>
          <w:u w:val="single"/>
        </w:rPr>
        <w:t xml:space="preserve"> </w:t>
      </w:r>
      <w:r>
        <w:rPr>
          <w:rFonts w:eastAsia="Times New Roman"/>
          <w:b w:val="false"/>
          <w:sz w:val="32"/>
          <w:szCs w:val="32"/>
          <w:u w:val="single"/>
        </w:rPr>
        <w:t xml:space="preserve"> </w:t>
      </w:r>
    </w:p>
    <w:p>
      <w:pPr>
        <w:pStyle w:val="Normal"/>
        <w:spacing w:lineRule="auto" w:line="48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rPr/>
      </w:pP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      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实验学生班级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>人工智能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2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x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x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  </w:t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实验学生姓名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</w:rPr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实验学生学号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</w:p>
    <w:p>
      <w:pPr>
        <w:pStyle w:val="Normal"/>
        <w:spacing w:lineRule="auto" w:line="360"/>
        <w:ind w:firstLine="1258" w:end="0"/>
        <w:rPr>
          <w:rFonts w:ascii="仿宋_GB2312" w:hAnsi="仿宋_GB2312" w:eastAsia="仿宋_GB2312" w:cs="仿宋_GB2312"/>
          <w:b w:val="false"/>
          <w:spacing w:val="100"/>
          <w:kern w:val="0"/>
          <w:sz w:val="32"/>
          <w:szCs w:val="32"/>
          <w:u w:val="single"/>
        </w:rPr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实验时间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</w:p>
    <w:p>
      <w:pPr>
        <w:pStyle w:val="Normal"/>
        <w:spacing w:lineRule="auto" w:line="360"/>
        <w:ind w:firstLine="1258" w:end="0"/>
        <w:rPr/>
      </w:pPr>
      <w:r>
        <w:rPr>
          <w:rFonts w:ascii="仿宋_GB2312" w:hAnsi="仿宋_GB2312" w:cs="仿宋_GB2312" w:eastAsia="仿宋_GB2312"/>
          <w:b w:val="false"/>
          <w:spacing w:val="100"/>
          <w:kern w:val="0"/>
          <w:sz w:val="32"/>
          <w:szCs w:val="32"/>
        </w:rPr>
        <w:t>实验地点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>信息楼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>C401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 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</w:t>
      </w: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实验成绩评定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</w:t>
      </w:r>
    </w:p>
    <w:p>
      <w:pPr>
        <w:pStyle w:val="Normal"/>
        <w:spacing w:lineRule="auto" w:line="360"/>
        <w:ind w:firstLine="1280" w:end="0"/>
        <w:rPr/>
      </w:pPr>
      <w:r>
        <w:rPr>
          <w:rFonts w:ascii="仿宋_GB2312" w:hAnsi="仿宋_GB2312" w:cs="仿宋_GB2312" w:eastAsia="仿宋_GB2312"/>
          <w:b w:val="false"/>
          <w:sz w:val="32"/>
          <w:szCs w:val="32"/>
        </w:rPr>
        <w:t>指导教师签字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  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韩哲哲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</w:t>
      </w:r>
      <w:r>
        <w:rPr>
          <w:rFonts w:ascii="仿宋_GB2312" w:hAnsi="仿宋_GB2312" w:cs="仿宋_GB2312" w:eastAsia="仿宋_GB2312"/>
          <w:b w:val="false"/>
          <w:sz w:val="32"/>
          <w:szCs w:val="32"/>
          <w:u w:val="single"/>
        </w:rPr>
        <w:t xml:space="preserve">  </w:t>
      </w:r>
    </w:p>
    <w:p>
      <w:pPr>
        <w:pStyle w:val="Normal"/>
        <w:spacing w:lineRule="auto" w:line="360"/>
        <w:ind w:firstLine="1280" w:end="0"/>
        <w:rPr>
          <w:rFonts w:ascii="仿宋_GB2312" w:hAnsi="仿宋_GB2312" w:eastAsia="仿宋_GB2312" w:cs="仿宋_GB2312"/>
          <w:b w:val="false"/>
          <w:sz w:val="32"/>
          <w:szCs w:val="32"/>
          <w:u w:val="single"/>
        </w:rPr>
      </w:pPr>
      <w:r>
        <w:rPr>
          <w:rFonts w:eastAsia="仿宋_GB2312" w:cs="仿宋_GB2312" w:ascii="仿宋_GB2312" w:hAnsi="仿宋_GB2312"/>
          <w:b w:val="false"/>
          <w:sz w:val="32"/>
          <w:szCs w:val="32"/>
          <w:u w:val="single"/>
        </w:rPr>
      </w:r>
    </w:p>
    <w:p>
      <w:pPr>
        <w:pStyle w:val="Normal"/>
        <w:spacing w:lineRule="auto" w:line="360"/>
        <w:ind w:firstLine="1280" w:end="0"/>
        <w:rPr/>
      </w:pPr>
      <w:r>
        <w:rPr>
          <w:rFonts w:eastAsia="仿宋_GB2312" w:cs="仿宋_GB2312" w:ascii="仿宋_GB2312" w:hAnsi="仿宋_GB2312"/>
          <w:b w:val="false"/>
          <w:sz w:val="32"/>
          <w:szCs w:val="32"/>
        </w:rPr>
        <w:t xml:space="preserve">            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2026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年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11</w:t>
      </w:r>
      <w:r>
        <w:rPr>
          <w:rFonts w:ascii="仿宋_GB2312" w:hAnsi="仿宋_GB2312" w:cs="仿宋_GB2312" w:eastAsia="仿宋_GB2312"/>
          <w:b w:val="false"/>
          <w:sz w:val="32"/>
          <w:szCs w:val="32"/>
        </w:rPr>
        <w:t>月</w:t>
      </w:r>
      <w:r>
        <w:rPr>
          <w:rFonts w:eastAsia="仿宋_GB2312" w:cs="仿宋_GB2312" w:ascii="仿宋_GB2312" w:hAnsi="仿宋_GB2312"/>
          <w:b w:val="false"/>
          <w:sz w:val="32"/>
          <w:szCs w:val="32"/>
        </w:rPr>
        <w:t>6</w:t>
      </w:r>
      <w:r>
        <w:rPr/>
        <w:t>日</w:t>
      </w:r>
    </w:p>
    <w:tbl>
      <w:tblPr>
        <w:tblW w:w="810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0"/>
      </w:tblGrid>
      <w:tr>
        <w:trPr>
          <w:trHeight w:val="13694" w:hRule="atLeast"/>
        </w:trPr>
        <w:tc>
          <w:tcPr>
            <w:tcW w:w="8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numPr>
                <w:ilvl w:val="0"/>
                <w:numId w:val="4"/>
              </w:numPr>
              <w:spacing w:lineRule="auto" w:line="360"/>
              <w:jc w:val="start"/>
              <w:rPr>
                <w:b w:val="false"/>
                <w:bCs/>
                <w:sz w:val="21"/>
                <w:szCs w:val="21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实验目的和要求</w:t>
            </w:r>
          </w:p>
          <w:p>
            <w:pPr>
              <w:pStyle w:val="Style17"/>
              <w:widowControl/>
              <w:tabs>
                <w:tab w:val="left" w:pos="420" w:leader="none"/>
              </w:tabs>
              <w:spacing w:lineRule="auto" w:line="360"/>
              <w:jc w:val="start"/>
              <w:rPr/>
            </w:pP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1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、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实验目的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both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掌握如何将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深度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学习模型集成到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系统中，提供在线推理服务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both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Flask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框架与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深度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学习模型的结合方法，实现模型加载、输入处理及预测输出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both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理解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系统中的用户输入、后端模型推理和结果展示的完整流程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both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提高实际项目开发能力，完成一个具有机器学习预测功能的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应用系统。</w:t>
            </w:r>
          </w:p>
          <w:p>
            <w:pPr>
              <w:pStyle w:val="Style17"/>
              <w:widowControl/>
              <w:tabs>
                <w:tab w:val="left" w:pos="420" w:leader="none"/>
              </w:tabs>
              <w:spacing w:lineRule="auto" w:line="360"/>
              <w:jc w:val="start"/>
              <w:rPr/>
            </w:pP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2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、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实验要求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使用预训练的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深度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学习模型，完成在线推理功能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开发一个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页面，允许用户上传输入数据（如文本、图片或数值）并提交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在后端加载训练好的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深度学习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模型，处理用户输入并生成预测结果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将预测结果以动态方式展示在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界面上，确保结果的准确性和响应速度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；</w:t>
            </w:r>
          </w:p>
          <w:p>
            <w:pPr>
              <w:pStyle w:val="Style17"/>
              <w:widowControl/>
              <w:numPr>
                <w:ilvl w:val="0"/>
                <w:numId w:val="3"/>
              </w:numPr>
              <w:spacing w:lineRule="auto" w:line="360"/>
              <w:jc w:val="start"/>
              <w:rPr>
                <w:rFonts w:ascii="Times New Roman" w:hAnsi="Times New Roman" w:eastAsia="宋体;SimSun"/>
                <w:bCs/>
                <w:color w:val="000000"/>
                <w:szCs w:val="21"/>
              </w:rPr>
            </w:pP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对实验过程进行分析和总结，记录模型加载、推理和</w:t>
            </w:r>
            <w:r>
              <w:rPr>
                <w:rFonts w:eastAsia="宋体;SimSun" w:ascii="Times New Roman" w:hAnsi="Times New Roman"/>
                <w:bCs/>
                <w:color w:val="000000"/>
                <w:szCs w:val="21"/>
              </w:rPr>
              <w:t>Web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交互的关键点</w:t>
            </w:r>
            <w:r>
              <w:rPr>
                <w:rFonts w:ascii="Times New Roman" w:hAnsi="Times New Roman" w:eastAsia="宋体;SimSun"/>
                <w:bCs/>
                <w:color w:val="000000"/>
                <w:szCs w:val="21"/>
              </w:rPr>
              <w:t>。</w:t>
            </w:r>
          </w:p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/>
            </w:pPr>
            <w:r>
              <w:rPr>
                <w:rFonts w:ascii="宋体;SimSun" w:hAnsi="宋体;SimSun" w:cs="新宋体" w:eastAsia="新宋体"/>
                <w:kern w:val="0"/>
                <w:sz w:val="24"/>
                <w:szCs w:val="32"/>
              </w:rPr>
              <w:t>二、</w:t>
            </w:r>
            <w:r>
              <w:rPr>
                <w:rFonts w:ascii="新宋体" w:hAnsi="新宋体" w:cs="新宋体" w:eastAsia="新宋体"/>
                <w:kern w:val="0"/>
                <w:sz w:val="24"/>
                <w:szCs w:val="32"/>
              </w:rPr>
              <w:t>实验原理简述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模型加载与推理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深度</w:t>
            </w:r>
            <w:r>
              <w:rPr>
                <w:color w:val="000000"/>
                <w:kern w:val="2"/>
                <w:szCs w:val="24"/>
              </w:rPr>
              <w:t>学习模型训练完成后可保存为文件，在后端加载</w:t>
            </w:r>
            <w:r>
              <w:rPr>
                <w:color w:val="000000"/>
                <w:kern w:val="2"/>
                <w:szCs w:val="24"/>
              </w:rPr>
              <w:t>深度学习</w:t>
            </w:r>
            <w:r>
              <w:rPr>
                <w:color w:val="000000"/>
                <w:kern w:val="2"/>
                <w:szCs w:val="24"/>
              </w:rPr>
              <w:t>模型</w:t>
            </w:r>
            <w:r>
              <w:rPr>
                <w:color w:val="000000"/>
                <w:kern w:val="2"/>
                <w:szCs w:val="24"/>
              </w:rPr>
              <w:t>，</w:t>
            </w:r>
            <w:r>
              <w:rPr>
                <w:color w:val="000000"/>
                <w:kern w:val="2"/>
                <w:szCs w:val="24"/>
              </w:rPr>
              <w:t>并通过接口实现推理</w:t>
            </w:r>
            <w:r>
              <w:rPr>
                <w:color w:val="000000"/>
                <w:kern w:val="2"/>
                <w:szCs w:val="24"/>
              </w:rPr>
              <w:t>，</w:t>
            </w:r>
            <w:r>
              <w:rPr>
                <w:color w:val="000000"/>
                <w:kern w:val="2"/>
                <w:szCs w:val="24"/>
              </w:rPr>
              <w:t>常用库</w:t>
            </w:r>
            <w:r>
              <w:rPr>
                <w:color w:val="000000"/>
                <w:kern w:val="2"/>
                <w:szCs w:val="24"/>
              </w:rPr>
              <w:t>如</w:t>
            </w:r>
            <w:r>
              <w:rPr>
                <w:color w:val="000000"/>
                <w:kern w:val="2"/>
                <w:szCs w:val="24"/>
              </w:rPr>
              <w:t>TensorFlow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PyTorch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与模型集成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将</w:t>
            </w:r>
            <w:r>
              <w:rPr>
                <w:color w:val="000000"/>
                <w:kern w:val="2"/>
                <w:szCs w:val="24"/>
              </w:rPr>
              <w:t>深度学习</w:t>
            </w:r>
            <w:r>
              <w:rPr>
                <w:color w:val="000000"/>
                <w:kern w:val="2"/>
                <w:szCs w:val="24"/>
              </w:rPr>
              <w:t>模型加载逻辑与</w:t>
            </w:r>
            <w:r>
              <w:rPr>
                <w:color w:val="000000"/>
                <w:kern w:val="2"/>
                <w:szCs w:val="24"/>
              </w:rPr>
              <w:t>HTTP</w:t>
            </w:r>
            <w:r>
              <w:rPr>
                <w:color w:val="000000"/>
                <w:kern w:val="2"/>
                <w:szCs w:val="24"/>
              </w:rPr>
              <w:t>请求结合，通过</w:t>
            </w:r>
            <w:r>
              <w:rPr>
                <w:color w:val="000000"/>
                <w:kern w:val="2"/>
                <w:szCs w:val="24"/>
              </w:rPr>
              <w:t>POST</w:t>
            </w:r>
            <w:r>
              <w:rPr>
                <w:color w:val="000000"/>
                <w:kern w:val="2"/>
                <w:szCs w:val="24"/>
              </w:rPr>
              <w:t>请求接收用户输入并返回预测结果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前端数据输入与展示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用户通过</w:t>
            </w:r>
            <w:r>
              <w:rPr>
                <w:color w:val="000000"/>
                <w:kern w:val="2"/>
                <w:szCs w:val="24"/>
              </w:rPr>
              <w:t>HTML</w:t>
            </w:r>
            <w:r>
              <w:rPr>
                <w:color w:val="000000"/>
                <w:kern w:val="2"/>
                <w:szCs w:val="24"/>
              </w:rPr>
              <w:t>表单上传数据（如数值输入、文本框或文件上传），后端处理后将预测结果通过动态页面返回用户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文件上传与数据解析</w:t>
            </w:r>
          </w:p>
          <w:p>
            <w:pPr>
              <w:pStyle w:val="2"/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支持文件上传功能，通过接收文件并解析内容，将其作为模型的输入数据。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三、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实验主要仪器和设备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高性能</w:t>
            </w:r>
            <w:r>
              <w:rPr>
                <w:color w:val="000000"/>
                <w:kern w:val="2"/>
                <w:szCs w:val="24"/>
              </w:rPr>
              <w:t>计算机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编程环境（安装</w:t>
            </w:r>
            <w:r>
              <w:rPr>
                <w:color w:val="000000"/>
                <w:kern w:val="2"/>
                <w:szCs w:val="24"/>
              </w:rPr>
              <w:t>Python 3.x</w:t>
            </w:r>
            <w:r>
              <w:rPr>
                <w:color w:val="000000"/>
                <w:kern w:val="2"/>
                <w:szCs w:val="24"/>
              </w:rPr>
              <w:t>及相关库）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Flask</w:t>
            </w:r>
            <w:r>
              <w:rPr>
                <w:color w:val="000000"/>
                <w:kern w:val="2"/>
                <w:szCs w:val="24"/>
              </w:rPr>
              <w:t>框架及数据库连接模块（如</w:t>
            </w:r>
            <w:r>
              <w:rPr>
                <w:color w:val="000000"/>
                <w:kern w:val="2"/>
                <w:szCs w:val="24"/>
              </w:rPr>
              <w:t>Pymysql</w:t>
            </w:r>
            <w:r>
              <w:rPr>
                <w:color w:val="000000"/>
                <w:kern w:val="2"/>
                <w:szCs w:val="24"/>
              </w:rPr>
              <w:t>）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数据库及可视化工具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四、实验方法和步骤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1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环境准备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安装所需的</w:t>
            </w:r>
            <w:r>
              <w:rPr>
                <w:color w:val="000000"/>
                <w:kern w:val="2"/>
                <w:szCs w:val="24"/>
              </w:rPr>
              <w:t>Python</w:t>
            </w:r>
            <w:r>
              <w:rPr>
                <w:color w:val="000000"/>
                <w:kern w:val="2"/>
                <w:szCs w:val="24"/>
              </w:rPr>
              <w:t>库：</w:t>
            </w:r>
            <w:r>
              <w:rPr>
                <w:color w:val="000000"/>
                <w:kern w:val="2"/>
                <w:szCs w:val="24"/>
              </w:rPr>
              <w:t>pip install flask tensorflow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配置</w:t>
            </w:r>
            <w:r>
              <w:rPr>
                <w:color w:val="000000"/>
                <w:kern w:val="2"/>
                <w:szCs w:val="24"/>
              </w:rPr>
              <w:t>MySQL</w:t>
            </w:r>
            <w:r>
              <w:rPr>
                <w:color w:val="000000"/>
                <w:kern w:val="2"/>
                <w:szCs w:val="24"/>
              </w:rPr>
              <w:t>数据库，并创建用于存储实验数据的表结构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确保开发环境已安装支持</w:t>
            </w:r>
            <w:r>
              <w:rPr>
                <w:color w:val="000000"/>
                <w:kern w:val="2"/>
                <w:szCs w:val="24"/>
              </w:rPr>
              <w:t>深度</w:t>
            </w:r>
            <w:r>
              <w:rPr>
                <w:color w:val="000000"/>
                <w:kern w:val="2"/>
                <w:szCs w:val="24"/>
              </w:rPr>
              <w:t>学习的相关框架。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2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>
                <w:color w:val="000000"/>
                <w:kern w:val="2"/>
                <w:szCs w:val="24"/>
              </w:rPr>
              <w:t>模型准备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选择一个合适的</w:t>
            </w:r>
            <w:r>
              <w:rPr>
                <w:color w:val="000000"/>
                <w:kern w:val="2"/>
                <w:szCs w:val="24"/>
              </w:rPr>
              <w:t>深度</w:t>
            </w:r>
            <w:r>
              <w:rPr>
                <w:color w:val="000000"/>
                <w:kern w:val="2"/>
                <w:szCs w:val="24"/>
              </w:rPr>
              <w:t>学习任务（如文本分类或图像分类）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建立</w:t>
            </w:r>
            <w:r>
              <w:rPr>
                <w:color w:val="000000"/>
                <w:kern w:val="2"/>
                <w:szCs w:val="24"/>
              </w:rPr>
              <w:t>预训练深度学习模型</w:t>
            </w:r>
            <w:r>
              <w:rPr>
                <w:color w:val="000000"/>
                <w:kern w:val="2"/>
                <w:szCs w:val="24"/>
              </w:rPr>
              <w:t>，并将</w:t>
            </w:r>
            <w:r>
              <w:rPr>
                <w:color w:val="000000"/>
                <w:kern w:val="2"/>
                <w:szCs w:val="24"/>
              </w:rPr>
              <w:t>模型保存为文件</w:t>
            </w:r>
            <w:r>
              <w:rPr>
                <w:color w:val="000000"/>
                <w:kern w:val="2"/>
                <w:szCs w:val="24"/>
              </w:rPr>
              <w:t>形式；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后端加载</w:t>
            </w:r>
            <w:r>
              <w:rPr>
                <w:color w:val="000000"/>
                <w:kern w:val="2"/>
                <w:szCs w:val="24"/>
              </w:rPr>
              <w:t>并初始化深度学习</w:t>
            </w:r>
            <w:r>
              <w:rPr>
                <w:color w:val="000000"/>
                <w:kern w:val="2"/>
                <w:szCs w:val="24"/>
              </w:rPr>
              <w:t>模型。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/>
              <w:t>3</w:t>
            </w:r>
            <w:r>
              <w:rPr/>
              <w:t>、</w:t>
            </w:r>
            <w:r>
              <w:rPr/>
              <w:t>Web</w:t>
            </w:r>
            <w:r>
              <w:rPr/>
              <w:t>系统开发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/>
            </w:pPr>
            <w:r>
              <w:rPr/>
              <w:t>使用</w:t>
            </w:r>
            <w:r>
              <w:rPr/>
              <w:t>Flask</w:t>
            </w:r>
            <w:r>
              <w:rPr/>
              <w:t>框架创建</w:t>
            </w:r>
            <w:r>
              <w:rPr/>
              <w:t>Web</w:t>
            </w:r>
            <w:r>
              <w:rPr/>
              <w:t>服务器：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/>
            </w:pPr>
            <w:r>
              <w:rPr/>
              <w:t>定义路由和视图函数，接收用户请求</w:t>
            </w:r>
            <w:r>
              <w:rPr/>
              <w:t>；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/>
            </w:pPr>
            <w:r>
              <w:rPr/>
              <w:t>设置文件上传路径和数据解析逻辑。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/>
            </w:pPr>
            <w:r>
              <w:rPr/>
              <w:t>开发前端页面：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/>
            </w:pPr>
            <w:r>
              <w:rPr/>
              <w:t>创建</w:t>
            </w:r>
            <w:r>
              <w:rPr/>
              <w:t>HTML</w:t>
            </w:r>
            <w:r>
              <w:rPr/>
              <w:t>表单，支持用户上传文件或输入数据</w:t>
            </w:r>
            <w:r>
              <w:rPr/>
              <w:t>；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/>
            </w:pPr>
            <w:r>
              <w:rPr/>
              <w:t>添加用户界面优化（如预测结果动态显示）。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/>
              <w:t>4</w:t>
            </w:r>
            <w:r>
              <w:rPr/>
              <w:t>、</w:t>
            </w:r>
            <w:r>
              <w:rPr/>
              <w:t>数据处理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/>
            </w:pPr>
            <w:r>
              <w:rPr/>
              <w:t>接收用户上传的输入数据，并解析内容（如提取图像、文本或数值数据）</w:t>
            </w:r>
            <w:r>
              <w:rPr/>
              <w:t>;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/>
            </w:pPr>
            <w:r>
              <w:rPr/>
              <w:t>对输入数据进行预处理（如归一化、分词、调整尺寸），确保符合模型的输入要求。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5</w:t>
            </w:r>
            <w:r>
              <w:rPr>
                <w:color w:val="000000"/>
                <w:kern w:val="2"/>
                <w:szCs w:val="24"/>
              </w:rPr>
              <w:t>、模型推理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/>
            </w:pPr>
            <w:r>
              <w:rPr/>
              <w:t>将处理后的输入数据送入加载好的深度学习模型进行推理</w:t>
            </w:r>
            <w:r>
              <w:rPr/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/>
            </w:pPr>
            <w:r>
              <w:rPr/>
              <w:t>捕获推理结果并对其格式化处理，</w:t>
            </w:r>
            <w:r>
              <w:rPr/>
              <w:t>以</w:t>
            </w:r>
            <w:r>
              <w:rPr/>
              <w:t>便于展示。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6</w:t>
            </w:r>
            <w:r>
              <w:rPr>
                <w:color w:val="000000"/>
                <w:kern w:val="2"/>
                <w:szCs w:val="24"/>
              </w:rPr>
              <w:t>、结果展示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后端将推理结果通过</w:t>
            </w:r>
            <w:r>
              <w:rPr>
                <w:color w:val="000000"/>
                <w:kern w:val="2"/>
                <w:szCs w:val="24"/>
              </w:rPr>
              <w:t>HTTP</w:t>
            </w:r>
            <w:r>
              <w:rPr>
                <w:color w:val="000000"/>
                <w:kern w:val="2"/>
                <w:szCs w:val="24"/>
              </w:rPr>
              <w:t>响应返回前端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前端动态展示结果，</w:t>
            </w:r>
            <w:r>
              <w:rPr>
                <w:color w:val="000000"/>
                <w:kern w:val="2"/>
                <w:szCs w:val="24"/>
              </w:rPr>
              <w:t>如</w:t>
            </w:r>
            <w:r>
              <w:rPr>
                <w:color w:val="000000"/>
                <w:kern w:val="2"/>
                <w:szCs w:val="24"/>
              </w:rPr>
              <w:t>：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文本分析结果的</w:t>
            </w:r>
            <w:r>
              <w:rPr/>
              <w:t>可视化</w:t>
            </w:r>
            <w:r>
              <w:rPr>
                <w:color w:val="000000"/>
                <w:kern w:val="2"/>
                <w:szCs w:val="24"/>
              </w:rPr>
              <w:t>展示；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图像分类结果的标签和置信度；</w:t>
            </w:r>
          </w:p>
          <w:p>
            <w:pPr>
              <w:pStyle w:val="2"/>
              <w:numPr>
                <w:ilvl w:val="0"/>
                <w:numId w:val="2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数值预测的具体数值或趋势图。</w:t>
            </w:r>
          </w:p>
          <w:p>
            <w:pPr>
              <w:pStyle w:val="2"/>
              <w:spacing w:lineRule="auto" w:line="360"/>
              <w:ind w:hanging="0" w:end="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7</w:t>
            </w:r>
            <w:r>
              <w:rPr>
                <w:color w:val="000000"/>
                <w:kern w:val="2"/>
                <w:szCs w:val="24"/>
              </w:rPr>
              <w:t>、</w:t>
            </w:r>
            <w:r>
              <w:rPr/>
              <w:t>测试与优化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通过不同类型的输入数据测试</w:t>
            </w:r>
            <w:r>
              <w:rPr>
                <w:color w:val="000000"/>
                <w:kern w:val="2"/>
                <w:szCs w:val="24"/>
              </w:rPr>
              <w:t>Web</w:t>
            </w:r>
            <w:r>
              <w:rPr>
                <w:color w:val="000000"/>
                <w:kern w:val="2"/>
                <w:szCs w:val="24"/>
              </w:rPr>
              <w:t>系统功能，确保系统的响应速度和准确性</w:t>
            </w:r>
            <w:r>
              <w:rPr>
                <w:color w:val="000000"/>
                <w:kern w:val="2"/>
                <w:szCs w:val="24"/>
              </w:rPr>
              <w:t>；</w:t>
            </w:r>
          </w:p>
          <w:p>
            <w:pPr>
              <w:pStyle w:val="2"/>
              <w:numPr>
                <w:ilvl w:val="0"/>
                <w:numId w:val="3"/>
              </w:numPr>
              <w:spacing w:lineRule="auto" w:line="360"/>
              <w:rPr>
                <w:color w:val="000000"/>
                <w:kern w:val="2"/>
                <w:szCs w:val="24"/>
              </w:rPr>
            </w:pPr>
            <w:r>
              <w:rPr>
                <w:color w:val="000000"/>
                <w:kern w:val="2"/>
                <w:szCs w:val="24"/>
              </w:rPr>
              <w:t>优化代码逻辑，提高模型加载和推理速度。</w:t>
            </w:r>
          </w:p>
          <w:p>
            <w:pPr>
              <w:pStyle w:val="Normal"/>
              <w:widowControl/>
              <w:spacing w:lineRule="auto" w:line="360"/>
              <w:ind w:hanging="720" w:start="720" w:end="0"/>
              <w:jc w:val="start"/>
              <w:rPr>
                <w:rFonts w:ascii="宋体;SimSun" w:hAnsi="宋体;SimSun" w:cs="新宋体"/>
                <w:kern w:val="0"/>
                <w:sz w:val="24"/>
                <w:szCs w:val="32"/>
              </w:rPr>
            </w:pP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五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、</w:t>
            </w:r>
            <w:r>
              <w:rPr>
                <w:rFonts w:ascii="宋体;SimSun" w:hAnsi="宋体;SimSun" w:cs="新宋体"/>
                <w:kern w:val="0"/>
                <w:sz w:val="24"/>
                <w:szCs w:val="32"/>
              </w:rPr>
              <w:t>实验结果分析（实验源代码、实验结果图、探讨分析）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1. 任务与模型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任务：英语语境例句检索。用户输入一句英语（或对某个意思的描述），系统找出语义最接近的演示例句，并给出例句对应的词条与词义，用于帮助区分多义词的不同含义。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模型：预训练句向量编码器 sentence-transformers/all-MiniLM-L6-v2（Apache-2.0），固定 revision 1110a243fdf4，只下载 safetensors 权重与分词器到本地并核对 SHA-256；Web 运行时离线加载，请求中不下载模型。语料为数据库中启用的 158 条演示例句（每个词义两条），编码为 384 维、L2 归一化的 float32 向量，因此查询向量与例句向量的点积即余弦相似度。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本报告的评价与指标都以上述 v2 演示语料为准。之后系统扩充到 v3 演示词库并接入正式考研词表（ECDICT，例句取 Tatoeba），线上索引重建为 6205 条例句；新增例句没有相关性标注，因此不重新报告指标，仅核对演示查询仍命中 bank 的“银行”与“河岸”例句（evidence/exp02/import-ky.txt）。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2. 实现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离线构建：flask build-example-index 从 MySQL 读取启用例句，编码前用分词器核对长度（超过 256 个 word piece 直接报错，不静默截断），写出向量、例句 ID 映射与清单；清单记录编码器 revision、权重哈希、向量与 ID 文件哈希，以及由例句 ID、版本和正文哈希算出的语料指纹。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ml/example_index.py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encode(model, texts):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"""先逐条核对长度再编码；返回 L2 归一化的 float32 向量。"""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for text in texts: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check_length(model, text)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vectors = model.encode(list(texts), batch_size=32, normalize_embeddings=True, convert_to_numpy=True)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return vectors.astype(np.float32)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ml/example_index.py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check_length(model, text):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tokens = len(model.tokenizer(text, add_special_tokens=True)["input_ids"])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tokens &gt; model.max_seq_length: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raise TextTooLong(tokens, model.max_seq_length)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return tokens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在线检索：每个进程只加载一次编码器；每次检索都用当前启用的例句重新计算语料指纹，与索引不一致（例句被修改或停用）时返回 503，要求重建索引，避免返回已经失效的例句。检索结果与版本信息一并写入 inference_events（kind=dl）。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 app/services/example_search.py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def search(conn, loaded, text, top_k=5, wordbook_id=None):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"""返回 (结果, model_time_ms)。model_time_ms 只计查询编码与相似度计算。"""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example_index = _modules()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validate(text, top_k, wordbook_id)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with db.transaction(conn):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rows = examples_repo.active_examples(conn)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allowed_words = examples_repo.words_in_wordbook(conn, wordbook_id) if wordbook_id is not None else None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wordbook_id is not None and allowed_words is None: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raise InvalidQuery({"wordbook_id": "词表不存在或已停用"})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if example_index.corpus_fingerprint(rows) != loaded.index_manifest["corpus_fingerprint"]: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raise SearchUnavailable("启用例句已变化，索引已过期；请执行 flask build-example-index")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try: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started = time.perf_counter()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query = example_index.encode(loaded.model, [text.strip()])[0]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scores = loaded.vectors @ query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model_time_ms = (time.perf_counter() - started) * 1000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except example_index.TextTooLong as exc: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raise InvalidQuery({"text": str(exc)}) from exc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by_id = {r["id"]: r for r in rows}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ranked = example_index.rank(scores, [item["example_key"] for item in loaded.ids])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results = []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for i in ranked: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row = by_id[loaded.ids[i]["example_id"]]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if allowed_words is not None and row["word_id"] not in allowed_words: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continue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results.append(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{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    "example_id": row["id"],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    "example_key": row["example_key"],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    "text_en": row["text_en"],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    "translation_zh": row["translation_zh"],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    "cosine_similarity": round(float(scores[i]), 6),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    "sense": {k: row[k] for k in ("sense_id", "lemma", "sense_key", "part_of_speech", "definition_zh")},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        }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    ...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3. 实验结果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评价查询：dev 10 条、test 30 条英语查询，分为近义改写、多义词的特定词义和语料中没有相关例句三类，同语料上与 TF-IDF 对照。标注状态：AI 起草并经 AI 复核，不是独立人工标注。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1580"/>
              <w:gridCol w:w="1580"/>
              <w:gridCol w:w="1580"/>
              <w:gridCol w:w="1580"/>
              <w:gridCol w:w="1580"/>
            </w:tblGrid>
            <w:tr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集合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方法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有相关项查询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Recall@3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MRR@3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dev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句向量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0.6875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0.7917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dev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TF-IDF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0.375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0.4792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test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句向量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0.6914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0.9259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test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TF-IDF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27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0.3457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0.5741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1580"/>
              <w:gridCol w:w="1580"/>
              <w:gridCol w:w="1580"/>
              <w:gridCol w:w="1580"/>
              <w:gridCol w:w="1580"/>
            </w:tblGrid>
            <w:tr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test 查询类型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方法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查询数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Recall@3</w:t>
                  </w:r>
                </w:p>
              </w:tc>
              <w:tc>
                <w:tcPr>
                  <w:tcW w:w="1580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MRR@3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paraphrase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句向量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0.6667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0.9167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polysemy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句向量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0.7407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0.9444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paraphrase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TF-IDF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18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0.4167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0.713</w:t>
                  </w:r>
                </w:p>
              </w:tc>
            </w:tr>
            <w:tr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polysemy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TF-IDF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9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0.2037</w:t>
                  </w:r>
                </w:p>
              </w:tc>
              <w:tc>
                <w:tcPr>
                  <w:tcW w:w="1580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0.2963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没有相关例句的 test 查询，句向量的最高相似度为 0.3062、0.2815、0.1639，TF-IDF 为 0.5355、0.4943、0.0。</w:t>
            </w:r>
          </w:p>
          <w:tbl>
            <w:tblPr>
              <w:tblW w:w="7900" w:type="dxa"/>
              <w:tblBorders>
                <w:top w:val="single" w:sz="4" w:space="0" w:color="999999"/>
                <w:left w:val="single" w:sz="4" w:space="0" w:color="999999"/>
                <w:bottom w:val="single" w:sz="4" w:space="0" w:color="999999"/>
                <w:right w:val="single" w:sz="4" w:space="0" w:color="999999"/>
                <w:insideH w:val="single" w:sz="4" w:space="0" w:color="999999"/>
                <w:insideV w:val="single" w:sz="4" w:space="0" w:color="999999"/>
              </w:tblBorders>
              <w:tblLayout w:type="fixed"/>
              <w:tblCellMar>
                <w:left w:w="80" w:type="dxa"/>
                <w:right w:w="80" w:type="dxa"/>
              </w:tblCellMar>
            </w:tblPr>
            <w:tblGrid>
              <w:gridCol w:w="1975"/>
              <w:gridCol w:w="1975"/>
              <w:gridCol w:w="1975"/>
              <w:gridCol w:w="1975"/>
            </w:tblGrid>
            <w:tr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耗时（Osaka，CPU）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HTTP 往返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处理</w:t>
                  </w:r>
                </w:p>
              </w:tc>
              <w:tc>
                <w:tcPr>
                  <w:tcW w:w="1975" w:type="dxa"/>
                  <w:shd w:val="clear" w:color="auto" w:fill="E7EEE9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sz w:val="18"/>
                      <w:szCs w:val="18"/>
                    </w:rPr>
                    <w:t xml:space="preserve">模型计算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首次请求（含加载 torch 与编码器）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7174.383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7146.548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240.908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预热后 p50（30 次，失败 0）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49.174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24.605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20.745</w:t>
                  </w:r>
                </w:p>
              </w:tc>
            </w:tr>
            <w:tr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预热后 p95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53.676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27.312</w:t>
                  </w:r>
                </w:p>
              </w:tc>
              <w:tc>
                <w:tcPr>
                  <w:tcW w:w="1975" w:type="dxa"/>
                </w:tcPr>
                <w:p>
                  <w:pPr>
                    <w:spacing w:before="20" w:after="20" w:line="260" w:lineRule="auto"/>
                    <w:jc w:val="start"/>
                    <w:rPr>
                      <w:sz w:val="18"/>
                    </w:rPr>
                  </w:pPr>
                  <w:r>
                    <w:rPr>
                      <w:rFonts w:ascii="宋体" w:hAnsi="宋体" w:eastAsia="宋体" w:cs="宋体"/>
                      <w:b w:val="0"/>
                      <w:bCs w:val="0"/>
                      <w:sz w:val="18"/>
                      <w:szCs w:val="18"/>
                    </w:rPr>
                    <w:t xml:space="preserve">23.363</w:t>
                  </w:r>
                </w:p>
              </w:tc>
            </w:tr>
          </w:tbl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color w:val="555555"/>
                <w:sz w:val="21"/>
                <w:szCs w:val="21"/>
              </w:rPr>
              <w:t xml:space="preserve">单位：毫秒。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索引一致性实测：停用一条例句后，旧索引被拒绝；恢复启用后语料指纹重新一致，检索恢复（evidence/exp04/lab-http.txt）：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## M04：停用例句 bank-2-1 后，旧索引被拒绝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HTTP 503 {'code': 'MODEL_UNAVAILABLE', 'message': '例句检索不可用：启用例句已变化，索引已过期；请执行 flask build-example-index'}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## 恢复启用后语料指纹重新一致，检索恢复（未重建索引）</w:t>
            </w:r>
          </w:p>
          <w:p>
            <w:pPr>
              <w:pStyle w:val="Normal"/>
              <w:widowControl/>
              <w:spacing w:before="0" w:after="0" w:lineRule="auto" w:line="240"/>
              <w:shd w:val="clear" w:color="auto" w:fill="F2F2F2"/>
              <w:jc w:val="start"/>
              <w:rPr>
                <w:b w:val="0"/>
                <w:sz w:val="17"/>
                <w:szCs w:val="17"/>
              </w:rPr>
            </w:pPr>
            <w:r>
              <w:rPr>
                <w:rFonts w:ascii="Courier New" w:hAnsi="Courier New" w:eastAsia="宋体" w:cs="Courier New"/>
                <w:b w:val="0"/>
                <w:bCs w:val="0"/>
                <w:sz w:val="17"/>
                <w:szCs w:val="17"/>
              </w:rPr>
              <w:t xml:space="preserve">HTTP 200 [('bank-2-1', 0.644641), ('scatter-1-1', 0.368972), ('bank-2-2', 0.317981)]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5059610"/>
                  <wp:docPr id="5001" name="e4_example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" name="e4_example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505961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1  查询“We sat on the grass beside the river.”：第一名为 bank 的“河岸”词义</w:t>
            </w:r>
          </w:p>
          <w:p>
            <w:pPr>
              <w:pStyle w:val="Normal"/>
              <w:widowControl/>
              <w:keepNext/>
              <w:spacing w:before="0" w:after="0" w:lineRule="auto" w:line="240"/>
              <w:jc w:val="center"/>
              <w:rPr>
                <w:b w:val="0"/>
                <w:sz w:val="24"/>
                <w:szCs w:val="24"/>
              </w:rPr>
            </w:pPr>
            <w:r>
              <w:drawing>
                <wp:inline distT="0" distB="0" distL="0" distR="0">
                  <wp:extent cx="5016500" cy="5059610"/>
                  <wp:docPr id="5002" name="e4_examples_mone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2" name="e4_examples_money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500" cy="505961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BBBBB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before="0" w:after="120" w:lineRule="auto" w:line="300"/>
              <w:jc w:val="center"/>
              <w:rPr>
                <w:b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1"/>
                <w:szCs w:val="21"/>
              </w:rPr>
              <w:t xml:space="preserve">图 2  查询“I need to open a savings account at the bank.”：第一名为 bank 的“银行”词义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制品复用（ADR 0002）：编码器除用于例句检索，还被学习诊断页 /insights 用来刻画错题。诊断页把每个错题词义编码为“词条: 英文释义”的句向量，按余弦距离做平均链接层次聚类得到语义组，并计算误选选项与正确释义的相似度，以词库两两相似度的第 99 百分位为参考阈值标注“语义相近”。这部分阈值没有独立标注评价，只作参考；实测见实验二报告的诊断页小节（evidence/exp02/insights-http.txt）。</w:t>
            </w:r>
          </w:p>
          <w:p>
            <w:pPr>
              <w:pStyle w:val="Normal"/>
              <w:widowControl/>
              <w:keepNext/>
              <w:spacing w:before="0" w:after="0" w:lineRule="auto" w:line="36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  <w:szCs w:val="24"/>
              </w:rPr>
              <w:t xml:space="preserve">4. 探讨分析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（1）语义检索的优势体现在多义词上：TF-IDF 只看词面重合，查询“河边的草地”和“开银行账户”都只能匹配到单词 bank；句向量能利用上下文区分两个词义（图 1、图 2），test 集多义词查询的 MRR@3 明显高于 TF-IDF。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（2）错误分析：t18“Lower prices encourage people to buy more.”前三名为 decline-1-1、reluctant-1-2、significant-1-1。查询描述的是“激励”这个概念，而“涨价后销量下降”“顾客不愿为环保产品多付钱”等例句与查询同属价格与购买话题，模型更多捕捉到了话题相似，而不是 incentive 这个词义本身。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（3）没有相关例句时，句向量仍会返回相似度较低的结果，TF-IDF 有时因为偶然的同词得到较高分数；本实验未设相似度阈值，因为阈值只能在 dev 集上确定，而 dev 集只有 2 条无相关查询，样本太少。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（4）评价的局限：语料与查询都是项目自编的小规模演示内容；查询与相关性标注由 AI 起草，并经 AI 逐条复核修正（移出 4 条明显不相关的标注、补充 1 条），不是独立人工标注。复核时已看过前一次评价结果，虽然检索方法与参数未作调整、两种方法使用同一标注，对照仍然公平，但绝对数值可能偏高，只反映这份演示语料。</w:t>
            </w:r>
          </w:p>
          <w:p>
            <w:pPr>
              <w:pStyle w:val="Normal"/>
              <w:widowControl/>
              <w:spacing w:lineRule="auto" w:line="360"/>
              <w:jc w:val="start"/>
              <w:rPr>
                <w:rFonts w:ascii="新宋体" w:hAnsi="新宋体" w:eastAsia="新宋体" w:cs="新宋体"/>
                <w:kern w:val="0"/>
                <w:sz w:val="24"/>
                <w:szCs w:val="32"/>
              </w:rPr>
            </w:pPr>
            <w:r>
              <w:rPr>
                <w:rFonts w:ascii="新宋体" w:hAnsi="新宋体" w:cs="新宋体" w:eastAsia="新宋体"/>
                <w:kern w:val="0"/>
                <w:sz w:val="24"/>
                <w:szCs w:val="32"/>
              </w:rPr>
              <w:t>六、实验总结与思考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本实验完成了预训练深度学习模型的本地部署与集成：固定模型版本并校验文件、离线构建向量索引、Flask 在线检索、MySQL 留证，并用独立查询集与 TF-IDF 对照评价。句向量检索在 test 集上的 MRR@3 为 0.9259，TF-IDF 为 0.5741。</w:t>
            </w:r>
          </w:p>
          <w:p>
            <w:pPr>
              <w:pStyle w:val="Normal"/>
              <w:widowControl/>
              <w:spacing w:before="0" w:after="0" w:lineRule="auto" w:line="360"/>
              <w:ind w:firstLine="480"/>
              <w:jc w:val="start"/>
              <w:rPr>
                <w:b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 xml:space="preserve">思考：深度学习模型的首次加载开销远大于单次推理（本实验首次请求约 7 秒，预热后约 20 毫秒），应在进程内只加载一次；模型、向量与语料三者的版本必须绑定，任何一方变化都要能被发现并拒绝旧结果。此外，评价数据应独立于语料并由人工确认；本实验的标注只经 AI 复核，这是评价部分最主要的不足。</w:t>
            </w:r>
          </w:p>
          <w:p>
            <w:pPr>
              <w:pStyle w:val="Normal"/>
              <w:widowControl/>
              <w:spacing w:before="0" w:after="0" w:lineRule="auto" w:line="240"/>
              <w:jc w:val="start"/>
              <w:rPr>
                <w:b w:val="0"/>
                <w:sz w:val="12"/>
                <w:szCs w:val="12"/>
              </w:rPr>
            </w:pPr>
          </w:p>
        </w:tc>
      </w:tr>
    </w:tbl>
    <w:p>
      <w:pPr>
        <w:pStyle w:val="Normal"/>
        <w:spacing w:lineRule="auto" w:line="360"/>
        <w:rPr>
          <w:sz w:val="18"/>
          <w:szCs w:val="18"/>
        </w:rPr>
      </w:pPr>
      <w:r>
        <w:rPr>
          <w:sz w:val="18"/>
          <w:szCs w:val="18"/>
        </w:rPr>
      </w:r>
    </w:p>
    <w:sectPr>
      <w:footerReference w:type="default" r:id="rId2"/>
      <w:type w:val="nextPage"/>
      <w:pgSz w:w="11906" w:h="16838"/>
      <w:pgMar w:left="1758" w:right="1644" w:gutter="0" w:header="0" w:top="1440" w:footer="992" w:bottom="130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仿宋_GB2312">
    <w:charset w:val="86"/>
    <w:family w:val="modern"/>
    <w:pitch w:val="default"/>
  </w:font>
  <w:font w:name="新宋体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"/>
      <w:lvlJc w:val="start"/>
      <w:pPr>
        <w:tabs>
          <w:tab w:val="num" w:pos="0"/>
        </w:tabs>
        <w:ind w:start="126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84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500" w:hanging="500"/>
      </w:pPr>
      <w:rPr>
        <w:sz w:val="24"/>
        <w:b/>
        <w:rFonts w:ascii="宋体;SimSun" w:hAnsi="宋体;SimSun" w:cs="新宋体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commondata" w:val="eyJoZGlkIjoiMjRhNDA5ZTdjN2RhNDQxYWYwYzEwMzczZGRiZmQyYj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b/>
      <w:color w:val="auto"/>
      <w:kern w:val="2"/>
      <w:sz w:val="84"/>
      <w:szCs w:val="24"/>
      <w:lang w:val="en-US" w:eastAsia="zh-CN" w:bidi="ar-SA"/>
    </w:rPr>
  </w:style>
  <w:style w:type="paragraph" w:styleId="Heading4">
    <w:name w:val="Heading 4"/>
    <w:basedOn w:val="Normal"/>
    <w:next w:val="BodyText"/>
    <w:qFormat/>
    <w:pPr>
      <w:widowControl/>
      <w:numPr>
        <w:ilvl w:val="3"/>
        <w:numId w:val="1"/>
      </w:numPr>
      <w:spacing w:before="280" w:after="280"/>
      <w:jc w:val="start"/>
      <w:outlineLvl w:val="3"/>
    </w:pPr>
    <w:rPr>
      <w:rFonts w:ascii="宋体;SimSun" w:hAnsi="宋体;SimSun" w:cs="宋体;SimSun"/>
      <w:bCs/>
      <w:kern w:val="0"/>
      <w:sz w:val="24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Symbol" w:hAnsi="Symbol" w:cs="Symbol"/>
      <w:sz w:val="20"/>
    </w:rPr>
  </w:style>
  <w:style w:type="character" w:styleId="WW8Num8z1">
    <w:name w:val="WW8Num8z1"/>
    <w:qFormat/>
    <w:rPr>
      <w:rFonts w:ascii="Courier New" w:hAnsi="Courier New" w:cs="Courier New"/>
      <w:sz w:val="20"/>
    </w:rPr>
  </w:style>
  <w:style w:type="character" w:styleId="WW8Num8z2">
    <w:name w:val="WW8Num8z2"/>
    <w:qFormat/>
    <w:rPr>
      <w:rFonts w:ascii="Wingdings" w:hAnsi="Wingdings" w:cs="Wingdings"/>
      <w:sz w:val="20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2z1">
    <w:name w:val="WW8Num12z1"/>
    <w:qFormat/>
    <w:rPr>
      <w:rFonts w:ascii="Courier New" w:hAnsi="Courier New" w:cs="Courier New"/>
      <w:sz w:val="20"/>
    </w:rPr>
  </w:style>
  <w:style w:type="character" w:styleId="WW8Num12z2">
    <w:name w:val="WW8Num12z2"/>
    <w:qFormat/>
    <w:rPr>
      <w:rFonts w:ascii="Wingdings" w:hAnsi="Wingdings" w:cs="Wingdings"/>
      <w:sz w:val="20"/>
    </w:rPr>
  </w:style>
  <w:style w:type="character" w:styleId="WW8Num14z0">
    <w:name w:val="WW8Num14z0"/>
    <w:qFormat/>
    <w:rPr>
      <w:rFonts w:ascii="Symbol" w:hAnsi="Symbol" w:cs="Symbol"/>
      <w:sz w:val="20"/>
    </w:rPr>
  </w:style>
  <w:style w:type="character" w:styleId="WW8Num14z1">
    <w:name w:val="WW8Num14z1"/>
    <w:qFormat/>
    <w:rPr>
      <w:rFonts w:ascii="Courier New" w:hAnsi="Courier New" w:cs="Courier New"/>
      <w:sz w:val="20"/>
    </w:rPr>
  </w:style>
  <w:style w:type="character" w:styleId="WW8Num14z2">
    <w:name w:val="WW8Num14z2"/>
    <w:qFormat/>
    <w:rPr>
      <w:rFonts w:ascii="Wingdings" w:hAnsi="Wingdings" w:cs="Wingdings"/>
      <w:sz w:val="20"/>
    </w:rPr>
  </w:style>
  <w:style w:type="character" w:styleId="WW8Num15z0">
    <w:name w:val="WW8Num15z0"/>
    <w:qFormat/>
    <w:rPr>
      <w:rFonts w:ascii="Symbol" w:hAnsi="Symbol" w:cs="Symbol"/>
      <w:sz w:val="20"/>
    </w:rPr>
  </w:style>
  <w:style w:type="character" w:styleId="WW8Num15z1">
    <w:name w:val="WW8Num15z1"/>
    <w:qFormat/>
    <w:rPr>
      <w:rFonts w:ascii="Courier New" w:hAnsi="Courier New" w:cs="Courier New"/>
      <w:sz w:val="20"/>
    </w:rPr>
  </w:style>
  <w:style w:type="character" w:styleId="WW8Num15z2">
    <w:name w:val="WW8Num15z2"/>
    <w:qFormat/>
    <w:rPr>
      <w:rFonts w:ascii="Wingdings" w:hAnsi="Wingdings" w:cs="Wingdings"/>
      <w:sz w:val="20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  <w:sz w:val="20"/>
    </w:rPr>
  </w:style>
  <w:style w:type="character" w:styleId="WW8Num17z1">
    <w:name w:val="WW8Num17z1"/>
    <w:qFormat/>
    <w:rPr>
      <w:rFonts w:ascii="Courier New" w:hAnsi="Courier New" w:cs="Courier New"/>
      <w:sz w:val="20"/>
    </w:rPr>
  </w:style>
  <w:style w:type="character" w:styleId="WW8Num17z2">
    <w:name w:val="WW8Num17z2"/>
    <w:qFormat/>
    <w:rPr>
      <w:rFonts w:ascii="Wingdings" w:hAnsi="Wingdings" w:cs="Wingdings"/>
      <w:sz w:val="20"/>
    </w:rPr>
  </w:style>
  <w:style w:type="character" w:styleId="WW8Num18z0">
    <w:name w:val="WW8Num18z0"/>
    <w:qFormat/>
    <w:rPr>
      <w:rFonts w:ascii="Symbol" w:hAnsi="Symbol" w:cs="Symbol"/>
      <w:sz w:val="20"/>
    </w:rPr>
  </w:style>
  <w:style w:type="character" w:styleId="WW8Num18z1">
    <w:name w:val="WW8Num18z1"/>
    <w:qFormat/>
    <w:rPr>
      <w:rFonts w:ascii="Courier New" w:hAnsi="Courier New" w:cs="Courier New"/>
      <w:sz w:val="20"/>
    </w:rPr>
  </w:style>
  <w:style w:type="character" w:styleId="WW8Num18z2">
    <w:name w:val="WW8Num18z2"/>
    <w:qFormat/>
    <w:rPr>
      <w:rFonts w:ascii="Wingdings" w:hAnsi="Wingdings" w:cs="Wingdings"/>
      <w:sz w:val="20"/>
    </w:rPr>
  </w:style>
  <w:style w:type="character" w:styleId="WW8Num19z0">
    <w:name w:val="WW8Num19z0"/>
    <w:qFormat/>
    <w:rPr>
      <w:rFonts w:ascii="Symbol" w:hAnsi="Symbol" w:cs="Symbol"/>
      <w:sz w:val="20"/>
    </w:rPr>
  </w:style>
  <w:style w:type="character" w:styleId="WW8Num19z1">
    <w:name w:val="WW8Num19z1"/>
    <w:qFormat/>
    <w:rPr>
      <w:rFonts w:ascii="Courier New" w:hAnsi="Courier New" w:cs="Courier New"/>
      <w:sz w:val="20"/>
    </w:rPr>
  </w:style>
  <w:style w:type="character" w:styleId="WW8Num19z2">
    <w:name w:val="WW8Num19z2"/>
    <w:qFormat/>
    <w:rPr>
      <w:rFonts w:ascii="Wingdings" w:hAnsi="Wingdings" w:cs="Wingdings"/>
      <w:sz w:val="20"/>
    </w:rPr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1z0">
    <w:name w:val="WW8Num21z0"/>
    <w:qFormat/>
    <w:rPr>
      <w:rFonts w:ascii="宋体;SimSun" w:hAnsi="宋体;SimSun" w:cs="新宋体"/>
      <w:b/>
      <w:sz w:val="24"/>
    </w:rPr>
  </w:style>
  <w:style w:type="character" w:styleId="WW8Num21z1">
    <w:name w:val="WW8Num21z1"/>
    <w:qFormat/>
    <w:rPr/>
  </w:style>
  <w:style w:type="character" w:styleId="WW8Num23z0">
    <w:name w:val="WW8Num23z0"/>
    <w:qFormat/>
    <w:rPr>
      <w:rFonts w:ascii="宋体;SimSun" w:hAnsi="宋体;SimSun" w:cs="新宋体"/>
      <w:b/>
      <w:sz w:val="24"/>
    </w:rPr>
  </w:style>
  <w:style w:type="character" w:styleId="WW8Num23z1">
    <w:name w:val="WW8Num23z1"/>
    <w:qFormat/>
    <w:rPr/>
  </w:style>
  <w:style w:type="character" w:styleId="WW8Num24z0">
    <w:name w:val="WW8Num24z0"/>
    <w:qFormat/>
    <w:rPr>
      <w:rFonts w:ascii="Symbol" w:hAnsi="Symbol" w:cs="Symbol"/>
      <w:sz w:val="20"/>
    </w:rPr>
  </w:style>
  <w:style w:type="character" w:styleId="WW8Num24z1">
    <w:name w:val="WW8Num24z1"/>
    <w:qFormat/>
    <w:rPr>
      <w:rFonts w:ascii="Courier New" w:hAnsi="Courier New" w:cs="Courier New"/>
      <w:sz w:val="20"/>
    </w:rPr>
  </w:style>
  <w:style w:type="character" w:styleId="WW8Num24z2">
    <w:name w:val="WW8Num24z2"/>
    <w:qFormat/>
    <w:rPr>
      <w:rFonts w:ascii="Wingdings" w:hAnsi="Wingdings" w:cs="Wingdings"/>
      <w:sz w:val="20"/>
    </w:rPr>
  </w:style>
  <w:style w:type="character" w:styleId="WW8Num25z0">
    <w:name w:val="WW8Num25z0"/>
    <w:qFormat/>
    <w:rPr>
      <w:rFonts w:ascii="Symbol" w:hAnsi="Symbol" w:cs="Symbol"/>
      <w:sz w:val="20"/>
    </w:rPr>
  </w:style>
  <w:style w:type="character" w:styleId="WW8Num25z1">
    <w:name w:val="WW8Num25z1"/>
    <w:qFormat/>
    <w:rPr>
      <w:rFonts w:ascii="Courier New" w:hAnsi="Courier New" w:cs="Courier New"/>
      <w:sz w:val="20"/>
    </w:rPr>
  </w:style>
  <w:style w:type="character" w:styleId="WW8Num25z2">
    <w:name w:val="WW8Num25z2"/>
    <w:qFormat/>
    <w:rPr>
      <w:rFonts w:ascii="Wingdings" w:hAnsi="Wingdings" w:cs="Wingdings"/>
      <w:sz w:val="20"/>
    </w:rPr>
  </w:style>
  <w:style w:type="character" w:styleId="WW8Num27z0">
    <w:name w:val="WW8Num27z0"/>
    <w:qFormat/>
    <w:rPr>
      <w:rFonts w:ascii="Symbol" w:hAnsi="Symbol" w:cs="Symbol"/>
      <w:sz w:val="20"/>
    </w:rPr>
  </w:style>
  <w:style w:type="character" w:styleId="WW8Num27z1">
    <w:name w:val="WW8Num27z1"/>
    <w:qFormat/>
    <w:rPr>
      <w:rFonts w:ascii="Courier New" w:hAnsi="Courier New" w:cs="Courier New"/>
      <w:sz w:val="20"/>
    </w:rPr>
  </w:style>
  <w:style w:type="character" w:styleId="WW8Num27z2">
    <w:name w:val="WW8Num27z2"/>
    <w:qFormat/>
    <w:rPr>
      <w:rFonts w:ascii="Wingdings" w:hAnsi="Wingdings" w:cs="Wingdings"/>
      <w:sz w:val="20"/>
    </w:rPr>
  </w:style>
  <w:style w:type="character" w:styleId="Style13">
    <w:name w:val="默认段落字体"/>
    <w:qFormat/>
    <w:rPr/>
  </w:style>
  <w:style w:type="character" w:styleId="PageNumber">
    <w:name w:val="Page Number"/>
    <w:rPr/>
  </w:style>
  <w:style w:type="character" w:styleId="fontstyle01">
    <w:name w:val="fontstyle01"/>
    <w:qFormat/>
    <w:rPr>
      <w:rFonts w:ascii="宋体;SimSun" w:hAnsi="宋体;SimSun" w:eastAsia="宋体;SimSun" w:cs="宋体;SimSun"/>
      <w:b w:val="false"/>
      <w:bCs w:val="false"/>
      <w:i w:val="false"/>
      <w:iCs w:val="false"/>
      <w:color w:val="000000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HTML">
    <w:name w:val="HTML 代码"/>
    <w:qFormat/>
    <w:rPr>
      <w:rFonts w:ascii="宋体;SimSun" w:hAnsi="宋体;SimSun" w:eastAsia="宋体;SimSun" w:cs="宋体;SimSun"/>
      <w:sz w:val="24"/>
      <w:szCs w:val="24"/>
    </w:rPr>
  </w:style>
  <w:style w:type="character" w:styleId="4">
    <w:name w:val="标题 4 字符"/>
    <w:qFormat/>
    <w:rPr>
      <w:rFonts w:ascii="宋体;SimSun" w:hAnsi="宋体;SimSun" w:cs="宋体;SimSun"/>
      <w:b/>
      <w:bCs/>
      <w:sz w:val="24"/>
      <w:szCs w:val="24"/>
    </w:rPr>
  </w:style>
  <w:style w:type="character" w:styleId="HTML1">
    <w:name w:val="HTML 预设格式 字符"/>
    <w:qFormat/>
    <w:rPr>
      <w:rFonts w:ascii="宋体;SimSun" w:hAnsi="宋体;SimSun" w:cs="宋体;SimSu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TextIndent">
    <w:name w:val="Body Text Indent"/>
    <w:basedOn w:val="Normal"/>
    <w:pPr>
      <w:spacing w:lineRule="auto" w:line="360"/>
      <w:ind w:firstLine="480" w:start="0" w:end="0"/>
    </w:pPr>
    <w:rPr>
      <w:b w:val="false"/>
      <w:sz w:val="24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/>
    <w:rPr>
      <w:sz w:val="24"/>
    </w:rPr>
  </w:style>
  <w:style w:type="paragraph" w:styleId="Style16">
    <w:name w:val="列表段落"/>
    <w:basedOn w:val="Normal"/>
    <w:qFormat/>
    <w:pPr>
      <w:ind w:firstLine="420" w:start="0" w:end="0"/>
    </w:pPr>
    <w:rPr/>
  </w:style>
  <w:style w:type="paragraph" w:styleId="2">
    <w:name w:val="正文2"/>
    <w:qFormat/>
    <w:pPr>
      <w:widowControl/>
      <w:bidi w:val="0"/>
      <w:ind w:firstLine="420" w:start="0" w:end="0"/>
    </w:pPr>
    <w:rPr>
      <w:rFonts w:ascii="Times New Roman" w:hAnsi="Times New Roman" w:eastAsia="宋体;SimSun" w:cs="宋体;SimSun"/>
      <w:color w:val="auto"/>
      <w:sz w:val="21"/>
      <w:szCs w:val="20"/>
      <w:lang w:val="en-US" w:eastAsia="zh-CN" w:bidi="ar-SA"/>
    </w:rPr>
  </w:style>
  <w:style w:type="paragraph" w:styleId="Style17">
    <w:name w:val="课题分析（——————————————————————————）"/>
    <w:basedOn w:val="Normal"/>
    <w:qFormat/>
    <w:pPr>
      <w:jc w:val="center"/>
    </w:pPr>
    <w:rPr>
      <w:rFonts w:ascii="楷体_GB2312;楷体" w:hAnsi="楷体_GB2312;楷体" w:eastAsia="仿宋_GB2312" w:cs="宋体;SimSun"/>
      <w:b w:val="false"/>
      <w:sz w:val="21"/>
    </w:rPr>
  </w:style>
  <w:style w:type="paragraph" w:styleId="HTML2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;SimSun" w:hAnsi="宋体;SimSun" w:cs="宋体;SimSun"/>
      <w:b w:val="false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Relationship Id="rId7" Type="http://schemas.openxmlformats.org/officeDocument/2006/relationships/image" Target="media/report_1.png"/><Relationship Id="rId8" Type="http://schemas.openxmlformats.org/officeDocument/2006/relationships/image" Target="media/report_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2022-10-14T06:07:00Z</dcterms:created>
  <dc:creator>user</dc:creator>
  <dc:description/>
  <cp:keywords/>
  <dc:language>en-US</dc:language>
  <cp:lastModifiedBy>Herbert</cp:lastModifiedBy>
  <cp:lastPrinted>2007-03-07T10:10:00Z</cp:lastPrinted>
  <dcterms:modified xsi:type="dcterms:W3CDTF">2026-10-23T01:38:00Z</dcterms:modified>
  <cp:revision>28</cp:revision>
  <dc:subject/>
  <dc:title>南京工程学院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97C313394E3349D78D682BBE1AB842D6_12</vt:lpwstr>
  </property>
  <property fmtid="{D5CDD505-2E9C-101B-9397-08002B2CF9AE}" pid="3" name="KSOProductBuildVer">
    <vt:lpwstr>2052-12.1.0.18608</vt:lpwstr>
  </property>
</Properties>
</file>