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Indent"/>
        <w:ind w:hanging="0" w:end="0"/>
        <w:jc w:val="center"/>
        <w:rPr>
          <w:rFonts w:eastAsia="楷体_GB2312;楷体"/>
          <w:bCs/>
          <w:color w:val="000000"/>
          <w:sz w:val="52"/>
          <w:szCs w:val="52"/>
        </w:rPr>
      </w:pPr>
      <w:r>
        <w:rPr>
          <w:rFonts w:eastAsia="楷体_GB2312;楷体"/>
          <w:bCs/>
          <w:color w:val="000000"/>
          <w:sz w:val="52"/>
          <w:szCs w:val="52"/>
        </w:rPr>
        <w:t>南京工程学院</w:t>
      </w:r>
    </w:p>
    <w:p>
      <w:pPr>
        <w:pStyle w:val="BodyTextIndent"/>
        <w:spacing w:before="312" w:after="0"/>
        <w:ind w:hanging="0" w:end="0"/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通信与信息工程学院、集成电路学院</w:t>
      </w:r>
    </w:p>
    <w:p>
      <w:pPr>
        <w:pStyle w:val="BodyTextIndent"/>
        <w:spacing w:before="312" w:after="0"/>
        <w:ind w:hanging="0" w:end="0"/>
        <w:jc w:val="center"/>
        <w:rPr>
          <w:b/>
          <w:color w:val="000000"/>
          <w:sz w:val="72"/>
          <w:szCs w:val="84"/>
        </w:rPr>
      </w:pPr>
      <w:r>
        <w:rPr>
          <w:b/>
          <w:color w:val="000000"/>
          <w:sz w:val="72"/>
          <w:szCs w:val="84"/>
        </w:rPr>
        <w:t>实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验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报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告</w:t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color w:val="000000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color w:val="000000"/>
          <w:sz w:val="28"/>
          <w:szCs w:val="28"/>
        </w:rPr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sz w:val="28"/>
          <w:szCs w:val="28"/>
        </w:rPr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课程名称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/>
          <w:b w:val="false"/>
          <w:sz w:val="32"/>
          <w:szCs w:val="32"/>
          <w:u w:val="single"/>
        </w:rPr>
        <w:t>Python Web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开发技术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774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实验项目名称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/>
          <w:b w:val="false"/>
          <w:sz w:val="32"/>
          <w:szCs w:val="32"/>
          <w:u w:val="single"/>
        </w:rPr>
        <w:t>案例数据分析（深度学习）</w:t>
      </w:r>
      <w:r>
        <w:rPr>
          <w:rFonts w:eastAsia="Times New Roman"/>
          <w:b w:val="false"/>
          <w:sz w:val="32"/>
          <w:szCs w:val="32"/>
          <w:u w:val="single"/>
        </w:rPr>
        <w:t xml:space="preserve"> </w:t>
      </w:r>
      <w:r>
        <w:rPr>
          <w:rFonts w:eastAsia="Times New Roman"/>
          <w:b w:val="false"/>
          <w:sz w:val="32"/>
          <w:szCs w:val="32"/>
          <w:u w:val="single"/>
        </w:rPr>
        <w:t xml:space="preserve"> </w:t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实验学生班级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人工智能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2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实验学生姓名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实验学生学号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pacing w:val="100"/>
          <w:kern w:val="0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实验时间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/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实验地点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信息楼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C401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实验成绩评定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指导教师签字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韩哲哲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2026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年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11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月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6</w:t>
      </w:r>
      <w:r>
        <w:rPr/>
        <w:t>日</w:t>
      </w:r>
    </w:p>
    <w:tbl>
      <w:tblPr>
        <w:tblW w:w="8100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00"/>
      </w:tblGrid>
      <w:tr>
        <w:trPr>
          <w:trHeight w:val="13694" w:hRule="atLeast"/>
        </w:trPr>
        <w:tc>
          <w:tcPr>
            <w:tcW w:w="8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b w:val="false"/>
                <w:bCs/>
                <w:sz w:val="21"/>
                <w:szCs w:val="21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实验目的和要求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1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实验目的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掌握如何将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学习模型集成到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系统中，提供在线推理服务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框架与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学习模型的结合方法，实现模型加载、输入处理及预测输出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理解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系统中的用户输入、后端模型推理和结果展示的完整流程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提高实际项目开发能力，完成一个具有机器学习预测功能的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应用系统。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2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实验要求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使用预训练的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学习模型，完成在线推理功能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开发一个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页面，允许用户上传输入数据（如文本、图片或数值）并提交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在后端加载训练好的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深度学习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模型，处理用户输入并生成预测结果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将预测结果以动态方式展示在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界面上，确保结果的准确性和响应速度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对实验过程进行分析和总结，记录模型加载、推理和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交互的关键点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/>
            </w:pPr>
            <w:r>
              <w:rPr>
                <w:rFonts w:ascii="宋体;SimSun" w:hAnsi="宋体;SimSun" w:cs="新宋体" w:eastAsia="新宋体"/>
                <w:kern w:val="0"/>
                <w:sz w:val="24"/>
                <w:szCs w:val="32"/>
              </w:rPr>
              <w:t>二、</w:t>
            </w: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实验原理简述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模型加载与推理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深度</w:t>
            </w:r>
            <w:r>
              <w:rPr>
                <w:color w:val="000000"/>
                <w:kern w:val="2"/>
                <w:szCs w:val="24"/>
              </w:rPr>
              <w:t>学习模型训练完成后可保存为文件，在后端加载</w:t>
            </w:r>
            <w:r>
              <w:rPr>
                <w:color w:val="000000"/>
                <w:kern w:val="2"/>
                <w:szCs w:val="24"/>
              </w:rPr>
              <w:t>深度学习</w:t>
            </w:r>
            <w:r>
              <w:rPr>
                <w:color w:val="000000"/>
                <w:kern w:val="2"/>
                <w:szCs w:val="24"/>
              </w:rPr>
              <w:t>模型</w:t>
            </w:r>
            <w:r>
              <w:rPr>
                <w:color w:val="000000"/>
                <w:kern w:val="2"/>
                <w:szCs w:val="24"/>
              </w:rPr>
              <w:t>，</w:t>
            </w:r>
            <w:r>
              <w:rPr>
                <w:color w:val="000000"/>
                <w:kern w:val="2"/>
                <w:szCs w:val="24"/>
              </w:rPr>
              <w:t>并通过接口实现推理</w:t>
            </w:r>
            <w:r>
              <w:rPr>
                <w:color w:val="000000"/>
                <w:kern w:val="2"/>
                <w:szCs w:val="24"/>
              </w:rPr>
              <w:t>，</w:t>
            </w:r>
            <w:r>
              <w:rPr>
                <w:color w:val="000000"/>
                <w:kern w:val="2"/>
                <w:szCs w:val="24"/>
              </w:rPr>
              <w:t>常用库</w:t>
            </w:r>
            <w:r>
              <w:rPr>
                <w:color w:val="000000"/>
                <w:kern w:val="2"/>
                <w:szCs w:val="24"/>
              </w:rPr>
              <w:t>如</w:t>
            </w:r>
            <w:r>
              <w:rPr>
                <w:color w:val="000000"/>
                <w:kern w:val="2"/>
                <w:szCs w:val="24"/>
              </w:rPr>
              <w:t>TensorFlow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PyTorch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与模型集成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将</w:t>
            </w:r>
            <w:r>
              <w:rPr>
                <w:color w:val="000000"/>
                <w:kern w:val="2"/>
                <w:szCs w:val="24"/>
              </w:rPr>
              <w:t>深度学习</w:t>
            </w:r>
            <w:r>
              <w:rPr>
                <w:color w:val="000000"/>
                <w:kern w:val="2"/>
                <w:szCs w:val="24"/>
              </w:rPr>
              <w:t>模型加载逻辑与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请求结合，通过</w:t>
            </w:r>
            <w:r>
              <w:rPr>
                <w:color w:val="000000"/>
                <w:kern w:val="2"/>
                <w:szCs w:val="24"/>
              </w:rPr>
              <w:t>POST</w:t>
            </w:r>
            <w:r>
              <w:rPr>
                <w:color w:val="000000"/>
                <w:kern w:val="2"/>
                <w:szCs w:val="24"/>
              </w:rPr>
              <w:t>请求接收用户输入并返回预测结果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前端数据输入与展示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用户通过</w:t>
            </w:r>
            <w:r>
              <w:rPr>
                <w:color w:val="000000"/>
                <w:kern w:val="2"/>
                <w:szCs w:val="24"/>
              </w:rPr>
              <w:t>HTML</w:t>
            </w:r>
            <w:r>
              <w:rPr>
                <w:color w:val="000000"/>
                <w:kern w:val="2"/>
                <w:szCs w:val="24"/>
              </w:rPr>
              <w:t>表单上传数据（如数值输入、文本框或文件上传），后端处理后将预测结果通过动态页面返回用户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文件上传与数据解析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支持文件上传功能，通过接收文件并解析内容，将其作为模型的输入数据。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三、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实验主要仪器和设备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高性能</w:t>
            </w:r>
            <w:r>
              <w:rPr>
                <w:color w:val="000000"/>
                <w:kern w:val="2"/>
                <w:szCs w:val="24"/>
              </w:rPr>
              <w:t>计算机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编程环境（安装</w:t>
            </w:r>
            <w:r>
              <w:rPr>
                <w:color w:val="000000"/>
                <w:kern w:val="2"/>
                <w:szCs w:val="24"/>
              </w:rPr>
              <w:t>Python 3.x</w:t>
            </w:r>
            <w:r>
              <w:rPr>
                <w:color w:val="000000"/>
                <w:kern w:val="2"/>
                <w:szCs w:val="24"/>
              </w:rPr>
              <w:t>及相关库）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框架及数据库连接模块（如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数据库及可视化工具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四、实验方法和步骤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1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环境准备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安装所需的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库：</w:t>
            </w:r>
            <w:r>
              <w:rPr>
                <w:color w:val="000000"/>
                <w:kern w:val="2"/>
                <w:szCs w:val="24"/>
              </w:rPr>
              <w:t>pip install flask tensorflow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配置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数据库，并创建用于存储实验数据的表结构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确保开发环境已安装支持</w:t>
            </w:r>
            <w:r>
              <w:rPr>
                <w:color w:val="000000"/>
                <w:kern w:val="2"/>
                <w:szCs w:val="24"/>
              </w:rPr>
              <w:t>深度</w:t>
            </w:r>
            <w:r>
              <w:rPr>
                <w:color w:val="000000"/>
                <w:kern w:val="2"/>
                <w:szCs w:val="24"/>
              </w:rPr>
              <w:t>学习的相关框架。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2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模型准备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选择一个合适的</w:t>
            </w:r>
            <w:r>
              <w:rPr>
                <w:color w:val="000000"/>
                <w:kern w:val="2"/>
                <w:szCs w:val="24"/>
              </w:rPr>
              <w:t>深度</w:t>
            </w:r>
            <w:r>
              <w:rPr>
                <w:color w:val="000000"/>
                <w:kern w:val="2"/>
                <w:szCs w:val="24"/>
              </w:rPr>
              <w:t>学习任务（如文本分类或图像分类）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建立</w:t>
            </w:r>
            <w:r>
              <w:rPr>
                <w:color w:val="000000"/>
                <w:kern w:val="2"/>
                <w:szCs w:val="24"/>
              </w:rPr>
              <w:t>预训练深度学习模型</w:t>
            </w:r>
            <w:r>
              <w:rPr>
                <w:color w:val="000000"/>
                <w:kern w:val="2"/>
                <w:szCs w:val="24"/>
              </w:rPr>
              <w:t>，并将</w:t>
            </w:r>
            <w:r>
              <w:rPr>
                <w:color w:val="000000"/>
                <w:kern w:val="2"/>
                <w:szCs w:val="24"/>
              </w:rPr>
              <w:t>模型保存为文件</w:t>
            </w:r>
            <w:r>
              <w:rPr>
                <w:color w:val="000000"/>
                <w:kern w:val="2"/>
                <w:szCs w:val="24"/>
              </w:rPr>
              <w:t>形式；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后端加载</w:t>
            </w:r>
            <w:r>
              <w:rPr>
                <w:color w:val="000000"/>
                <w:kern w:val="2"/>
                <w:szCs w:val="24"/>
              </w:rPr>
              <w:t>并初始化深度学习</w:t>
            </w:r>
            <w:r>
              <w:rPr>
                <w:color w:val="000000"/>
                <w:kern w:val="2"/>
                <w:szCs w:val="24"/>
              </w:rPr>
              <w:t>模型。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/>
              <w:t>3</w:t>
            </w:r>
            <w:r>
              <w:rPr/>
              <w:t>、</w:t>
            </w:r>
            <w:r>
              <w:rPr/>
              <w:t>Web</w:t>
            </w:r>
            <w:r>
              <w:rPr/>
              <w:t>系统开发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使用</w:t>
            </w:r>
            <w:r>
              <w:rPr/>
              <w:t>Flask</w:t>
            </w:r>
            <w:r>
              <w:rPr/>
              <w:t>框架创建</w:t>
            </w:r>
            <w:r>
              <w:rPr/>
              <w:t>Web</w:t>
            </w:r>
            <w:r>
              <w:rPr/>
              <w:t>服务器：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定义路由和视图函数，接收用户请求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设置文件上传路径和数据解析逻辑。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开发前端页面：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创建</w:t>
            </w:r>
            <w:r>
              <w:rPr/>
              <w:t>HTML</w:t>
            </w:r>
            <w:r>
              <w:rPr/>
              <w:t>表单，支持用户上传文件或输入数据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添加用户界面优化（如预测结果动态显示）。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/>
              <w:t>4</w:t>
            </w:r>
            <w:r>
              <w:rPr/>
              <w:t>、</w:t>
            </w:r>
            <w:r>
              <w:rPr/>
              <w:t>数据处理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接收用户上传的输入数据，并解析内容（如提取图像、文本或数值数据）</w:t>
            </w:r>
            <w:r>
              <w:rPr/>
              <w:t>;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对输入数据进行预处理（如归一化、分词、调整尺寸），确保符合模型的输入要求。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5</w:t>
            </w:r>
            <w:r>
              <w:rPr>
                <w:color w:val="000000"/>
                <w:kern w:val="2"/>
                <w:szCs w:val="24"/>
              </w:rPr>
              <w:t>、模型推理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将处理后的输入数据送入加载好的深度学习模型进行推理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捕获推理结果并对其格式化处理，</w:t>
            </w:r>
            <w:r>
              <w:rPr/>
              <w:t>以</w:t>
            </w:r>
            <w:r>
              <w:rPr/>
              <w:t>便于展示。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6</w:t>
            </w:r>
            <w:r>
              <w:rPr>
                <w:color w:val="000000"/>
                <w:kern w:val="2"/>
                <w:szCs w:val="24"/>
              </w:rPr>
              <w:t>、结果展示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后端将推理结果通过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响应返回前端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前端动态展示结果，</w:t>
            </w:r>
            <w:r>
              <w:rPr>
                <w:color w:val="000000"/>
                <w:kern w:val="2"/>
                <w:szCs w:val="24"/>
              </w:rPr>
              <w:t>如</w:t>
            </w:r>
            <w:r>
              <w:rPr>
                <w:color w:val="000000"/>
                <w:kern w:val="2"/>
                <w:szCs w:val="24"/>
              </w:rPr>
              <w:t>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文本分析结果的</w:t>
            </w:r>
            <w:r>
              <w:rPr/>
              <w:t>可视化</w:t>
            </w:r>
            <w:r>
              <w:rPr>
                <w:color w:val="000000"/>
                <w:kern w:val="2"/>
                <w:szCs w:val="24"/>
              </w:rPr>
              <w:t>展示；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图像分类结果的标签和置信度；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数值预测的具体数值或趋势图。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7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测试与优化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通过不同类型的输入数据测试</w:t>
            </w: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系统功能，确保系统的响应速度和准确性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优化代码逻辑，提高模型加载和推理速度。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五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实验结果分析（实验源代码、实验结果图、探讨分析）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1. 任务与模型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任务：英语语境例句检索。用户输入一句英语（或对某个意思的描述），系统找出语义最接近的已校对例句，并给出例句对应的词条与词义，用于帮助区分多义词的不同含义。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模型：预训练句向量编码器 sentence-transformers/all-MiniLM-L6-v2（Apache-2.0），固定 revision 1110a243fdf4，只下载 safetensors 权重与分词器到本地并核对 SHA-256；Web 运行时离线加载，请求中不下载模型。语料为数据库中启用的 158 条演示例句（每个词义两条），编码为 384 维、L2 归一化的 float32 向量，因此查询向量与例句向量的点积即余弦相似度。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2. 实现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离线构建：flask build-example-index 从 MySQL 读取启用例句，编码前用分词器核对长度（超过 256 个 word piece 直接报错，不静默截断），写出向量、例句 ID 映射与清单；清单记录编码器 revision、权重哈希、向量与 ID 文件哈希，以及由例句 ID、版本和正文哈希算出的语料指纹。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ml/example_index.py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encode(model, texts):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"""先逐条核对长度再编码；返回 L2 归一化的 float32 向量。"""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for text in texts: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check_length(model, text)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vectors = model.encode(list(texts), batch_size=32, normalize_embeddings=True, convert_to_numpy=True)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vectors.astype(np.float32)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ml/example_index.py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check_length(model, text):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tokens = len(model.tokenizer(text, add_special_tokens=True)["input_ids"])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tokens &gt; model.max_seq_length: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TextTooLong(tokens, model.max_seq_length)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tokens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在线检索：每个进程只加载一次编码器；每次检索都用当前启用的例句重新计算语料指纹，与索引不一致（例句被修改或停用）时返回 503，要求重建索引，避免返回已经失效的例句。检索结果与版本信息一并写入 inference_events（kind=dl）。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app/services/example_search.py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search(conn, loaded, text, top_k=5, wordbook_id=None):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"""返回 (结果, model_time_ms)。model_time_ms 只计查询编码与相似度计算。"""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example_index = _modules()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validate(text, top_k, wordbook_id)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with db.transaction(conn):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rows = examples_repo.active_examples(conn)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allowed_words = examples_repo.words_in_wordbook(conn, wordbook_id) if wordbook_id is not None else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wordbook_id is not None and allowed_words is None: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InvalidQuery({"wordbook_id": "词表不存在或已停用"})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example_index.corpus_fingerprint(rows) != loaded.index_manifest["corpus_fingerprint"]: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SearchUnavailable("启用例句已变化，索引已过期；请执行 flask build-example-index")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try: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started = time.perf_counter()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query = example_index.encode(loaded.model, [text.strip()])[0]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scores = loaded.vectors @ query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model_time_ms = (time.perf_counter() - started) * 1000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except example_index.TextTooLong as exc: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InvalidQuery({"text": str(exc)}) from exc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by_id = {r["id"]: r for r in rows}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ranked = sorted(range(len(loaded.ids)), key=lambda i: -float(scores[i]))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results = []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for i in ranked: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row = by_id[loaded.ids[i]["example_id"]]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if allowed_words is not None and row["word_id"] not in allowed_words: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continue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results.append(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{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"example_id": row["id"],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"example_key": row["example_key"],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"text_en": row["text_en"],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"translation_zh": row["translation_zh"],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"cosine_similarity": round(float(scores[i]), 6),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"sense": {k: row[k] for k in ("sense_id", "lemma", "sense_key", "part_of_speech", "definition_zh")},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...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3. 实验结果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评价查询：dev 10 条、test 30 条英语查询，分为近义改写、多义词的特定词义和语料中没有相关例句三类，同语料上与 TF-IDF 对照。标注状态：AI 草拟、待人工确认（#7），不是独立人工标注。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580"/>
              <w:gridCol w:w="1580"/>
              <w:gridCol w:w="1580"/>
              <w:gridCol w:w="1580"/>
              <w:gridCol w:w="1580"/>
            </w:tblGrid>
            <w:tr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集合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方法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有相关项查询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Recall@3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MRR@3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dev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0.6875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0.7917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dev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0.3125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0.4792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0.6296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0.9074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0.3148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0.5617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580"/>
              <w:gridCol w:w="1580"/>
              <w:gridCol w:w="1580"/>
              <w:gridCol w:w="1580"/>
              <w:gridCol w:w="1580"/>
            </w:tblGrid>
            <w:tr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test 查询类型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方法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查询数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Recall@3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MRR@3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paraphrase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0.6389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0.9167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polysemy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9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0.6111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0.8889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paraphrase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0.3889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0.713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polysemy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9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0.1667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0.2593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没有相关例句的 test 查询，句向量的最高相似度为 0.3062、0.2815、0.1639，TF-IDF 为 0.5355、0.4943、0.0。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975"/>
              <w:gridCol w:w="1975"/>
              <w:gridCol w:w="1975"/>
              <w:gridCol w:w="1975"/>
            </w:tblGrid>
            <w:tr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耗时（Osaka，CPU）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HTTP 往返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处理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模型计算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首次请求（含加载 torch 与编码器）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7403.935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7376.828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263.075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预热后 p50（30 次，失败 0）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51.172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25.497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21.463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预热后 p95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55.123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29.982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26.111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555555"/>
                <w:sz w:val="21"/>
                <w:szCs w:val="21"/>
              </w:rPr>
              <w:t xml:space="preserve">单位：毫秒。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索引一致性实测：停用一条例句后，旧索引被拒绝；恢复启用后语料指纹重新一致，检索恢复（evidence/exp04/lab-http.txt）：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## M04：停用例句 bank-2-1 后，旧索引被拒绝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HTTP 503 {'code': 'MODEL_UNAVAILABLE', 'message': '例句检索不可用：启用例句已变化，索引已过期；请执行 flask build-example-index'}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## 恢复启用后语料指纹重新一致，检索恢复（未重建索引）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HTTP 200 [('bank-2-1', 0.644641), ('scatter-1-1', 0.368972), ('bank-2-2', 0.317981)]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5157589"/>
                  <wp:docPr id="5001" name="e4_example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1" name="e4_examples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5157589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1  查询“We sat on the grass beside the river.”：第一名为 bank 的“河岸”词义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5157589"/>
                  <wp:docPr id="5002" name="e4_examples_mone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2" name="e4_examples_money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5157589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2  查询“I need to open a savings account at the bank.”：第一名为 bank 的“银行”词义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4. 探讨分析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（1）语义检索的优势体现在多义词上：TF-IDF 只看词面重合，查询“河边的草地”和“开银行账户”都只能匹配到单词 bank；句向量能利用上下文区分两个词义（图 1、图 2），test 集多义词查询的 MRR@3 明显高于 TF-IDF。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（2）错误分析：t18“Lower prices encourage people to buy more.”前三名为 decline-1-1、reluctant-1-2、significant-1-2。查询描述的是“激励”这个概念，而“涨价后销量下降”“顾客不愿为环保产品多付钱”等例句与查询同属价格与购买话题，模型更多捕捉到了话题相似，而不是 incentive 这个词义本身。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（3）没有相关例句时，句向量仍会返回相似度较低的结果，TF-IDF 有时因为偶然的同词得到较高分数；本实验未设相似度阈值，因为阈值只能在 dev 集上确定，而 dev 集只有 2 条无相关查询，样本太少。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（4）评价的局限：语料与查询都是项目自编的小规模演示内容，查询与相关性标注目前由 AI 起草、尚待人工逐条确认，因此上述指标只反映这份演示语料，确认后需要重新运行评价。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新宋体" w:hAnsi="新宋体" w:eastAsia="新宋体" w:cs="新宋体"/>
                <w:kern w:val="0"/>
                <w:sz w:val="24"/>
                <w:szCs w:val="32"/>
              </w:rPr>
            </w:pP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六、实验总结与思考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本实验完成了预训练深度学习模型的本地部署与集成：固定模型版本并校验文件、离线构建向量索引、Flask 在线检索、MySQL 留证，并用独立查询集与 TF-IDF 对照评价。句向量检索在 test 集上的 MRR@3 为 0.9074，TF-IDF 为 0.5617。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思考：深度学习模型的首次加载开销远大于单次推理（本实验首次请求约 7 秒，预热后约 20 毫秒），应在进程内只加载一次；模型、向量与语料三者的版本必须绑定，任何一方变化都要能被发现并拒绝旧结果。此外，评价数据必须独立于语料、并由人工确认，否则指标很容易高估真实效果。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</w:tc>
      </w:tr>
    </w:tbl>
    <w:p>
      <w:pPr>
        <w:pStyle w:val="Normal"/>
        <w:spacing w:lineRule="auto" w:line="360"/>
        <w:rPr>
          <w:sz w:val="18"/>
          <w:szCs w:val="18"/>
        </w:rPr>
      </w:pPr>
      <w:r>
        <w:rPr>
          <w:sz w:val="18"/>
          <w:szCs w:val="18"/>
        </w:rPr>
      </w:r>
    </w:p>
    <w:sectPr>
      <w:footerReference w:type="default" r:id="rId2"/>
      <w:type w:val="nextPage"/>
      <w:pgSz w:w="11906" w:h="16838"/>
      <w:pgMar w:left="1758" w:right="1644" w:gutter="0" w:header="0" w:top="1440" w:footer="992" w:bottom="130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楷体_GB2312">
    <w:altName w:val="楷体"/>
    <w:charset w:val="86"/>
    <w:family w:val="modern"/>
    <w:pitch w:val="default"/>
  </w:font>
  <w:font w:name="仿宋_GB2312">
    <w:charset w:val="86"/>
    <w:family w:val="modern"/>
    <w:pitch w:val="default"/>
  </w:font>
  <w:font w:name="新宋体"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"/>
      <w:lvlJc w:val="start"/>
      <w:pPr>
        <w:tabs>
          <w:tab w:val="num" w:pos="0"/>
        </w:tabs>
        <w:ind w:start="1260" w:hanging="42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chineseCountingThousand"/>
      <w:lvlText w:val="%1、"/>
      <w:lvlJc w:val="start"/>
      <w:pPr>
        <w:tabs>
          <w:tab w:val="num" w:pos="0"/>
        </w:tabs>
        <w:ind w:start="500" w:hanging="500"/>
      </w:pPr>
      <w:rPr>
        <w:sz w:val="24"/>
        <w:b/>
        <w:rFonts w:ascii="宋体;SimSun" w:hAnsi="宋体;SimSun" w:cs="新宋体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noLeading/>
    <w:doNotExpandShiftReturn/>
    <w:doNotBreakWrappedTables/>
    <w:compatSetting w:name="compatibilityMode" w:uri="http://schemas.microsoft.com/office/word" w:val="11"/>
  </w:compat>
  <w:docVars>
    <w:docVar w:name="commondata" w:val="eyJoZGlkIjoiMjRhNDA5ZTdjN2RhNDQxYWYwYzEwMzczZGRiZmQyYj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b/>
      <w:color w:val="auto"/>
      <w:kern w:val="2"/>
      <w:sz w:val="84"/>
      <w:szCs w:val="24"/>
      <w:lang w:val="en-US" w:eastAsia="zh-CN" w:bidi="ar-SA"/>
    </w:rPr>
  </w:style>
  <w:style w:type="paragraph" w:styleId="Heading4">
    <w:name w:val="Heading 4"/>
    <w:basedOn w:val="Normal"/>
    <w:next w:val="BodyText"/>
    <w:qFormat/>
    <w:pPr>
      <w:widowControl/>
      <w:numPr>
        <w:ilvl w:val="3"/>
        <w:numId w:val="1"/>
      </w:numPr>
      <w:spacing w:before="280" w:after="280"/>
      <w:jc w:val="start"/>
      <w:outlineLvl w:val="3"/>
    </w:pPr>
    <w:rPr>
      <w:rFonts w:ascii="宋体;SimSun" w:hAnsi="宋体;SimSun" w:cs="宋体;SimSun"/>
      <w:bCs/>
      <w:kern w:val="0"/>
      <w:sz w:val="24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Symbol" w:hAnsi="Symbol" w:cs="Symbol"/>
      <w:sz w:val="20"/>
    </w:rPr>
  </w:style>
  <w:style w:type="character" w:styleId="WW8Num8z1">
    <w:name w:val="WW8Num8z1"/>
    <w:qFormat/>
    <w:rPr>
      <w:rFonts w:ascii="Courier New" w:hAnsi="Courier New" w:cs="Courier New"/>
      <w:sz w:val="20"/>
    </w:rPr>
  </w:style>
  <w:style w:type="character" w:styleId="WW8Num8z2">
    <w:name w:val="WW8Num8z2"/>
    <w:qFormat/>
    <w:rPr>
      <w:rFonts w:ascii="Wingdings" w:hAnsi="Wingdings" w:cs="Wingdings"/>
      <w:sz w:val="20"/>
    </w:rPr>
  </w:style>
  <w:style w:type="character" w:styleId="WW8Num9z0">
    <w:name w:val="WW8Num9z0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4z0">
    <w:name w:val="WW8Num14z0"/>
    <w:qFormat/>
    <w:rPr>
      <w:rFonts w:ascii="Symbol" w:hAnsi="Symbol" w:cs="Symbol"/>
      <w:sz w:val="20"/>
    </w:rPr>
  </w:style>
  <w:style w:type="character" w:styleId="WW8Num14z1">
    <w:name w:val="WW8Num14z1"/>
    <w:qFormat/>
    <w:rPr>
      <w:rFonts w:ascii="Courier New" w:hAnsi="Courier New" w:cs="Courier New"/>
      <w:sz w:val="20"/>
    </w:rPr>
  </w:style>
  <w:style w:type="character" w:styleId="WW8Num14z2">
    <w:name w:val="WW8Num14z2"/>
    <w:qFormat/>
    <w:rPr>
      <w:rFonts w:ascii="Wingdings" w:hAnsi="Wingdings" w:cs="Wingdings"/>
      <w:sz w:val="20"/>
    </w:rPr>
  </w:style>
  <w:style w:type="character" w:styleId="WW8Num15z0">
    <w:name w:val="WW8Num15z0"/>
    <w:qFormat/>
    <w:rPr>
      <w:rFonts w:ascii="Symbol" w:hAnsi="Symbol" w:cs="Symbol"/>
      <w:sz w:val="20"/>
    </w:rPr>
  </w:style>
  <w:style w:type="character" w:styleId="WW8Num15z1">
    <w:name w:val="WW8Num15z1"/>
    <w:qFormat/>
    <w:rPr>
      <w:rFonts w:ascii="Courier New" w:hAnsi="Courier New" w:cs="Courier New"/>
      <w:sz w:val="20"/>
    </w:rPr>
  </w:style>
  <w:style w:type="character" w:styleId="WW8Num15z2">
    <w:name w:val="WW8Num15z2"/>
    <w:qFormat/>
    <w:rPr>
      <w:rFonts w:ascii="Wingdings" w:hAnsi="Wingdings" w:cs="Wingdings"/>
      <w:sz w:val="20"/>
    </w:rPr>
  </w:style>
  <w:style w:type="character" w:styleId="WW8Num16z0">
    <w:name w:val="WW8Num16z0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8z0">
    <w:name w:val="WW8Num18z0"/>
    <w:qFormat/>
    <w:rPr>
      <w:rFonts w:ascii="Symbol" w:hAnsi="Symbol" w:cs="Symbol"/>
      <w:sz w:val="20"/>
    </w:rPr>
  </w:style>
  <w:style w:type="character" w:styleId="WW8Num18z1">
    <w:name w:val="WW8Num18z1"/>
    <w:qFormat/>
    <w:rPr>
      <w:rFonts w:ascii="Courier New" w:hAnsi="Courier New" w:cs="Courier New"/>
      <w:sz w:val="20"/>
    </w:rPr>
  </w:style>
  <w:style w:type="character" w:styleId="WW8Num18z2">
    <w:name w:val="WW8Num18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WW8Num20z0">
    <w:name w:val="WW8Num20z0"/>
    <w:qFormat/>
    <w:rPr>
      <w:rFonts w:ascii="Wingdings" w:hAnsi="Wingdings" w:cs="Wingdings"/>
    </w:rPr>
  </w:style>
  <w:style w:type="character" w:styleId="WW8Num21z0">
    <w:name w:val="WW8Num21z0"/>
    <w:qFormat/>
    <w:rPr>
      <w:rFonts w:ascii="宋体;SimSun" w:hAnsi="宋体;SimSun" w:cs="新宋体"/>
      <w:b/>
      <w:sz w:val="24"/>
    </w:rPr>
  </w:style>
  <w:style w:type="character" w:styleId="WW8Num21z1">
    <w:name w:val="WW8Num21z1"/>
    <w:qFormat/>
    <w:rPr/>
  </w:style>
  <w:style w:type="character" w:styleId="WW8Num23z0">
    <w:name w:val="WW8Num23z0"/>
    <w:qFormat/>
    <w:rPr>
      <w:rFonts w:ascii="宋体;SimSun" w:hAnsi="宋体;SimSun" w:cs="新宋体"/>
      <w:b/>
      <w:sz w:val="24"/>
    </w:rPr>
  </w:style>
  <w:style w:type="character" w:styleId="WW8Num23z1">
    <w:name w:val="WW8Num23z1"/>
    <w:qFormat/>
    <w:rPr/>
  </w:style>
  <w:style w:type="character" w:styleId="WW8Num24z0">
    <w:name w:val="WW8Num24z0"/>
    <w:qFormat/>
    <w:rPr>
      <w:rFonts w:ascii="Symbol" w:hAnsi="Symbol" w:cs="Symbol"/>
      <w:sz w:val="20"/>
    </w:rPr>
  </w:style>
  <w:style w:type="character" w:styleId="WW8Num24z1">
    <w:name w:val="WW8Num24z1"/>
    <w:qFormat/>
    <w:rPr>
      <w:rFonts w:ascii="Courier New" w:hAnsi="Courier New" w:cs="Courier New"/>
      <w:sz w:val="20"/>
    </w:rPr>
  </w:style>
  <w:style w:type="character" w:styleId="WW8Num24z2">
    <w:name w:val="WW8Num24z2"/>
    <w:qFormat/>
    <w:rPr>
      <w:rFonts w:ascii="Wingdings" w:hAnsi="Wingdings" w:cs="Wingdings"/>
      <w:sz w:val="20"/>
    </w:rPr>
  </w:style>
  <w:style w:type="character" w:styleId="WW8Num25z0">
    <w:name w:val="WW8Num25z0"/>
    <w:qFormat/>
    <w:rPr>
      <w:rFonts w:ascii="Symbol" w:hAnsi="Symbol" w:cs="Symbol"/>
      <w:sz w:val="20"/>
    </w:rPr>
  </w:style>
  <w:style w:type="character" w:styleId="WW8Num25z1">
    <w:name w:val="WW8Num25z1"/>
    <w:qFormat/>
    <w:rPr>
      <w:rFonts w:ascii="Courier New" w:hAnsi="Courier New" w:cs="Courier New"/>
      <w:sz w:val="20"/>
    </w:rPr>
  </w:style>
  <w:style w:type="character" w:styleId="WW8Num25z2">
    <w:name w:val="WW8Num25z2"/>
    <w:qFormat/>
    <w:rPr>
      <w:rFonts w:ascii="Wingdings" w:hAnsi="Wingdings" w:cs="Wingdings"/>
      <w:sz w:val="20"/>
    </w:rPr>
  </w:style>
  <w:style w:type="character" w:styleId="WW8Num27z0">
    <w:name w:val="WW8Num27z0"/>
    <w:qFormat/>
    <w:rPr>
      <w:rFonts w:ascii="Symbol" w:hAnsi="Symbol" w:cs="Symbol"/>
      <w:sz w:val="20"/>
    </w:rPr>
  </w:style>
  <w:style w:type="character" w:styleId="WW8Num27z1">
    <w:name w:val="WW8Num27z1"/>
    <w:qFormat/>
    <w:rPr>
      <w:rFonts w:ascii="Courier New" w:hAnsi="Courier New" w:cs="Courier New"/>
      <w:sz w:val="20"/>
    </w:rPr>
  </w:style>
  <w:style w:type="character" w:styleId="WW8Num27z2">
    <w:name w:val="WW8Num27z2"/>
    <w:qFormat/>
    <w:rPr>
      <w:rFonts w:ascii="Wingdings" w:hAnsi="Wingdings" w:cs="Wingdings"/>
      <w:sz w:val="20"/>
    </w:rPr>
  </w:style>
  <w:style w:type="character" w:styleId="Style13">
    <w:name w:val="默认段落字体"/>
    <w:qFormat/>
    <w:rPr/>
  </w:style>
  <w:style w:type="character" w:styleId="PageNumber">
    <w:name w:val="Page Number"/>
    <w:rPr/>
  </w:style>
  <w:style w:type="character" w:styleId="fontstyle01">
    <w:name w:val="fontstyle01"/>
    <w:qFormat/>
    <w:rPr>
      <w:rFonts w:ascii="宋体;SimSun" w:hAnsi="宋体;SimSun" w:eastAsia="宋体;SimSun" w:cs="宋体;SimSun"/>
      <w:b w:val="false"/>
      <w:bCs w:val="false"/>
      <w:i w:val="false"/>
      <w:iCs w:val="false"/>
      <w:color w:val="000000"/>
      <w:sz w:val="22"/>
      <w:szCs w:val="22"/>
    </w:rPr>
  </w:style>
  <w:style w:type="character" w:styleId="Strong">
    <w:name w:val="Strong"/>
    <w:qFormat/>
    <w:rPr>
      <w:b/>
      <w:bCs/>
    </w:rPr>
  </w:style>
  <w:style w:type="character" w:styleId="HTML">
    <w:name w:val="HTML 代码"/>
    <w:qFormat/>
    <w:rPr>
      <w:rFonts w:ascii="宋体;SimSun" w:hAnsi="宋体;SimSun" w:eastAsia="宋体;SimSun" w:cs="宋体;SimSun"/>
      <w:sz w:val="24"/>
      <w:szCs w:val="24"/>
    </w:rPr>
  </w:style>
  <w:style w:type="character" w:styleId="4">
    <w:name w:val="标题 4 字符"/>
    <w:qFormat/>
    <w:rPr>
      <w:rFonts w:ascii="宋体;SimSun" w:hAnsi="宋体;SimSun" w:cs="宋体;SimSun"/>
      <w:b/>
      <w:bCs/>
      <w:sz w:val="24"/>
      <w:szCs w:val="24"/>
    </w:rPr>
  </w:style>
  <w:style w:type="character" w:styleId="HTML1">
    <w:name w:val="HTML 预设格式 字符"/>
    <w:qFormat/>
    <w:rPr>
      <w:rFonts w:ascii="宋体;SimSun" w:hAnsi="宋体;SimSun" w:cs="宋体;SimSun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auto" w:line="360"/>
      <w:ind w:firstLine="480" w:start="0" w:end="0"/>
    </w:pPr>
    <w:rPr>
      <w:b w:val="false"/>
      <w:sz w:val="24"/>
    </w:rPr>
  </w:style>
  <w:style w:type="paragraph" w:styleId="Style14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5">
    <w:name w:val="普通(网站)"/>
    <w:basedOn w:val="Normal"/>
    <w:qFormat/>
    <w:pPr/>
    <w:rPr>
      <w:sz w:val="24"/>
    </w:rPr>
  </w:style>
  <w:style w:type="paragraph" w:styleId="Style16">
    <w:name w:val="列表段落"/>
    <w:basedOn w:val="Normal"/>
    <w:qFormat/>
    <w:pPr>
      <w:ind w:firstLine="420" w:start="0" w:end="0"/>
    </w:pPr>
    <w:rPr/>
  </w:style>
  <w:style w:type="paragraph" w:styleId="2">
    <w:name w:val="正文2"/>
    <w:qFormat/>
    <w:pPr>
      <w:widowControl/>
      <w:bidi w:val="0"/>
      <w:ind w:firstLine="420" w:start="0" w:end="0"/>
    </w:pPr>
    <w:rPr>
      <w:rFonts w:ascii="Times New Roman" w:hAnsi="Times New Roman" w:eastAsia="宋体;SimSun" w:cs="宋体;SimSun"/>
      <w:color w:val="auto"/>
      <w:sz w:val="21"/>
      <w:szCs w:val="20"/>
      <w:lang w:val="en-US" w:eastAsia="zh-CN" w:bidi="ar-SA"/>
    </w:rPr>
  </w:style>
  <w:style w:type="paragraph" w:styleId="Style17">
    <w:name w:val="课题分析（——————————————————————————）"/>
    <w:basedOn w:val="Normal"/>
    <w:qFormat/>
    <w:pPr>
      <w:jc w:val="center"/>
    </w:pPr>
    <w:rPr>
      <w:rFonts w:ascii="楷体_GB2312;楷体" w:hAnsi="楷体_GB2312;楷体" w:eastAsia="仿宋_GB2312" w:cs="宋体;SimSun"/>
      <w:b w:val="false"/>
      <w:sz w:val="21"/>
    </w:rPr>
  </w:style>
  <w:style w:type="paragraph" w:styleId="HTML2">
    <w:name w:val="HTML 预设格式"/>
    <w:basedOn w:val="Normal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;SimSun" w:hAnsi="宋体;SimSun" w:cs="宋体;SimSun"/>
      <w:b w:val="false"/>
      <w:kern w:val="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Relationship Id="rId7" Type="http://schemas.openxmlformats.org/officeDocument/2006/relationships/image" Target="media/report_1.png"/><Relationship Id="rId8" Type="http://schemas.openxmlformats.org/officeDocument/2006/relationships/image" Target="media/report_2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2022-10-14T06:07:00Z</dcterms:created>
  <dc:creator>user</dc:creator>
  <dc:description/>
  <cp:keywords/>
  <dc:language>en-US</dc:language>
  <cp:lastModifiedBy>Herbert</cp:lastModifiedBy>
  <cp:lastPrinted>2007-03-07T10:10:00Z</cp:lastPrinted>
  <dcterms:modified xsi:type="dcterms:W3CDTF">2026-10-23T01:38:00Z</dcterms:modified>
  <cp:revision>28</cp:revision>
  <dc:subject/>
  <dc:title>南京工程学院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97C313394E3349D78D682BBE1AB842D6_12</vt:lpwstr>
  </property>
  <property fmtid="{D5CDD505-2E9C-101B-9397-08002B2CF9AE}" pid="3" name="KSOProductBuildVer">
    <vt:lpwstr>2052-12.1.0.18608</vt:lpwstr>
  </property>
</Properties>
</file>