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SWTID1741165920151963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FitFlex: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Subash B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Sugumar sa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Tharun G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Vasantha Kumar I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Veera Prabu T 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6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