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Konzeptionelles Framework für agenticit.ch: GTM-Strategie, interaktives Screendesign und hochsouveräne Multi-Agenten-Architekturen im Schweizer B2B-Markt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Evolution der künstlichen Intelligenz im Enterprise-Sektor vollzieht einen fundamentalen Paradigmenwechsel. Der Übergang von starren, regelbasierten Systemen wie der klassischen Robotic Process Automation (RPA) hin zu autonomen, zielorientierten KI-Agenten („Agentic AI“ und „Agentic IT“) markiert die nächste Stufe der industriellen Digitalisierung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Während herkömmliche Chatbots lediglich vordefinierten Entscheidungsbäumen folgen, sind autonome Agenten in der Lage, eigenständig Handlungspläne zu entwerfen, externe Werkzeuge über Anwendungsschnittstellen (APIs) zu bedienen, sich an veränderliche Kontexte anzupassen und Ergebnisse eigenständig zu validieren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Globale Markteinführungen wie Salesforce Agentforce oder HPE Agentic Operations belegen, dass das strategische Potenzial für hochspezialisierte Dienstleister im Schweizer B2B-Markt außergewöhnlich hoch ist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Für die Domain agenticit.ch ergibt sich daraus die Chance, sich als führender Schweizer Integrator an der Schnittstelle von technologischer Disruption und lokaler Datensouveränität zu etablieren. Schweizer KMU und Konzerne – insbesondere in stark regulierten Bereichen wie dem Finanz- und Treuhandwesen, den Professional Services sowie in Industrie und Handel – fordern Lösungen, die direkten, quantifizierbaren wirtschaftlichen Nutzen stiften, anstatt sich in technologischem „Schnickschnack“ zu verlieren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Das vorliegende Betriebskonzept liefert ein detailliertes Framework für die Go-to-Market-Strategie (GTM), das interaktive Screendesign für mobile Endgeräte, ein standardisiertes 8-Pakete-Portfolio sowie die zugrundeliegende technische Architektur, um qualifizierte B2B-Leads zu generieren und messbare Effizienzsteigerungen zu realisieren.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Strategische Positionierung und das interaktive Screendesign (Mobile-First)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Erfolg einer B2B-Plattform für hochkomplexe Technologien hängt maßgeblich davon ab, wie verständlich und greifbar die Lösungen für Entscheidungsträger präsentiert werden. Da ein Großteil des Erstkontakts über mobile Endgeräte erfolgt, muss das Screendesign auf schlanken, visuell fokussierten und interaktiven „Micro-Demos“ basieren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Anstatt den Nutzer mit textlastigen Erklärungen zu überfordern, setzt die Benutzeroberfläche von agenticit.ch auf ein spielerisches, rollenbasiertes Interaktionsmodell, das den konkreten Nutzen (Return on Investment) sofort erlebbar macht.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Persona-basierte Benutzerführung (The "Who am I" Selector)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Beim Betreten der Webseite wird dem Besucher ein prominentes, intuitives Auswahlmenü präsentiert. Dieses ist für mobile Bildschirme als horizontales Karussell oder vertikaler Stack konzipiert. Der Nutzer wählt seine Rolle aus, um eine maßgeschneiderte Simulation zu starten: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„Ich bin im Kundendienst tätig“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Fokus: Containment-Raten, Ticket-Reduktion, 24/7-Erreichbarkeit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„Ich leite den operativen Betrieb / 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Fokus: Prozessautomatisierung, Opex-Senkung, System-Integration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„Ich verantworte Finanzen &amp; Compliance“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Fokus: Datensouveränität, nFADP-Konformität, Fehlerreduktion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„Ich führe ein Industrie- &amp; Handelsunternehmen“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Fokus: Lieferketten-Optimierung, automatisierte Auftragsabwicklung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Nach der Auswahl wird der Nutzer direkt in ein interaktives Szenario überführt, das den genauen Arbeitsalltag simuliert.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interaktiven Story-Konzepte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Jede Unterseite der Webpräsenz integriert eine spezifische, geführte Interaktion. Diese zeigt den technologischen Unterschied zwischen klassischer Software und autonomen Agenten auf kleinstem Raum.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t xml:space="preserve">+-------------------------------------------------------------+</w:t>
        <w:br w:type="textWrapping"/>
        <w:t xml:space="preserve">|                     Rollen-Auswahl                          |</w:t>
        <w:br w:type="textWrapping"/>
        <w:t xml:space="preserve">|    [Kundendienst]   [Operations/IT]   [Finanzen/Compliance]  |</w:t>
        <w:br w:type="textWrapping"/>
        <w:t xml:space="preserve">+-------------------------------------------------------------+</w:t>
        <w:br w:type="textWrapping"/>
        <w:t xml:space="preserve">                               |</w:t>
        <w:br w:type="textWrapping"/>
        <w:t xml:space="preserve">                               v</w:t>
        <w:br w:type="textWrapping"/>
        <w:t xml:space="preserve">+-------------------------------------------------------------+</w:t>
        <w:br w:type="textWrapping"/>
        <w:t xml:space="preserve">|                  Interaktive Micro-Demo                     |</w:t>
        <w:br w:type="textWrapping"/>
        <w:t xml:space="preserve">|  *Auslöser* (z. B. Eingehender Anruf / System-Fehler)       |</w:t>
        <w:br w:type="textWrapping"/>
        <w:t xml:space="preserve">|  *Visualisierung* des Multi-Agenten-Netzwerks               |</w:t>
        <w:br w:type="textWrapping"/>
        <w:t xml:space="preserve">|  *Ergebnis* (z. B. Termin gebucht, Ticket gelöst in &lt;10s)   |</w:t>
        <w:br w:type="textWrapping"/>
        <w:t xml:space="preserve">+-------------------------------------------------------------+</w:t>
        <w:br w:type="textWrapping"/>
        <w:t xml:space="preserve">                               |</w:t>
        <w:br w:type="textWrapping"/>
        <w:t xml:space="preserve">                               v</w:t>
        <w:br w:type="textWrapping"/>
        <w:t xml:space="preserve">+-------------------------------------------------------------+</w:t>
        <w:br w:type="textWrapping"/>
        <w:t xml:space="preserve">|                     Direkter ROI-Rechner                    |</w:t>
        <w:br w:type="textWrapping"/>
        <w:t xml:space="preserve">|  Eingabe: Interaktionsvolumen &amp; manuelle Bearbeitungszeit   |</w:t>
        <w:br w:type="textWrapping"/>
        <w:t xml:space="preserve">|  Ergebnis: Jährliche Ersparnis &amp; Amortisationsdauer        |</w:t>
        <w:br w:type="textWrapping"/>
        <w:t xml:space="preserve">+-------------------------------------------------------------+</w:t>
        <w:br w:type="textWrapping"/>
        <w:t xml:space="preserve">                               |</w:t>
        <w:br w:type="textWrapping"/>
        <w:t xml:space="preserve">                               v</w:t>
        <w:br w:type="textWrapping"/>
        <w:t xml:space="preserve">+-------------------------------------------------------------+</w:t>
        <w:br w:type="textWrapping"/>
        <w:t xml:space="preserve">|             CTAs: Individuellen Termin buchen              |</w:t>
        <w:br w:type="textWrapping"/>
        <w:t xml:space="preserve">|        [Termin vereinbaren]   [Custom Demo anfordern]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 1: Der Kundendienst-Trigger (Vocal &amp; Chat Agent)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Nutzer sieht ein schematisches Smartphone auf dem Bildschirm. Ein simulierter Anruf geht ein – die Warteschleife droht zu kollabieren. Mit einem einzigen Klick auf einen physisch simulierten Schiebe-Trigger („Agent aktivieren“) nimmt ein digitaler Avatar das Gespräch live an. Der Avatar spricht in natürlicher Schweizer Mundart oder Hochdeutsch, gleicht die Kundendaten im Hintergrund ab, schlägt einen freien Termin im Kalendersystem vor, bestätigt diesen per SMS und erfasst das Lead im CRM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Der Nutzer sieht parallel eine Daten-Leiste, die zeigt: </w:t>
      </w:r>
      <w:r w:rsidDel="00000000" w:rsidR="00000000" w:rsidRPr="00000000">
        <w:rPr>
          <w:rFonts w:ascii="Google Sans" w:cs="Google Sans" w:eastAsia="Google Sans" w:hAnsi="Google Sans"/>
          <w:i w:val="1"/>
          <w:iCs w:val="1"/>
          <w:color w:val="1f1f1f"/>
          <w:rtl w:val="0"/>
        </w:rPr>
        <w:t xml:space="preserve">„Bearbeitungszeit: 8 Sekunden. Kosten: CHF 0.60 (statt CHF 7.50 bei manuellem Support)“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 2: Die Multi-Agenten-Parallelisierung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Demo kontrastiert sequentielle Arbeitsweisen mit paralleler Multi-Agenten-Orchestrierung. Der Nutzer löst eine komplexe Aufgabe aus, beispielsweise: „Führe eine Due-Diligence-Prüfung für einen neuen Lieferanten durch.“</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Sequentieller Ablauf (Klassisch)</w:t>
      </w:r>
      <w:r w:rsidDel="00000000" w:rsidR="00000000" w:rsidRPr="00000000">
        <w:rPr>
          <w:rFonts w:ascii="Google Sans" w:cs="Google Sans" w:eastAsia="Google Sans" w:hAnsi="Google Sans"/>
          <w:color w:val="1f1f1f"/>
          <w:rtl w:val="0"/>
        </w:rPr>
        <w:t xml:space="preserve">: Ein einzelnes System arbeitet Schritt für Schritt ab (Handelsregister prüfen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Betreibungsauszug scannen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Finanzberichte analysieren </w:t>
      </w:r>
      <w:r w:rsidDel="00000000" w:rsidR="00000000" w:rsidRPr="00000000">
        <w:rPr>
          <w:rFonts w:ascii="Google Sans" w:cs="Google Sans" w:eastAsia="Google Sans" w:hAnsi="Google Sans"/>
          <w:color w:val="1f1f1f"/>
        </w:rPr>
        <w:drawing>
          <wp:inline distB="19050" distT="19050" distL="19050" distR="19050">
            <wp:extent cx="196006" cy="233341"/>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006" cy="2333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ESG-Kriterien matchen). Die Zeitleiste läuft langsam ab (Simulierte Dauer: 10 Minuten)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Paralleler Multi-Agenten-Ablauf</w:t>
      </w:r>
      <w:r w:rsidDel="00000000" w:rsidR="00000000" w:rsidRPr="00000000">
        <w:rPr>
          <w:rFonts w:ascii="Google Sans" w:cs="Google Sans" w:eastAsia="Google Sans" w:hAnsi="Google Sans"/>
          <w:color w:val="1f1f1f"/>
          <w:rtl w:val="0"/>
        </w:rPr>
        <w:t xml:space="preserve">: Ein Haupt-Orchestrator teilt die Aufgabe in Segmente auf und delegiert sie an spezialisierte Sub-Agenten, die zeitgleich operieren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Die Analyse erfolgt parallel in Sekunden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Dem Nutzer wird visuell demonstriert, wie die Gesamtzeit drastisch sinkt, da die Dauer nur noch durch die zeitaufwendigste Teilaufgabe bestimmt wird, statt durch die Summe aller Aufgaben (</w:t>
      </w:r>
      <w:r w:rsidDel="00000000" w:rsidR="00000000" w:rsidRPr="00000000">
        <w:rPr>
          <w:rFonts w:ascii="Google Sans" w:cs="Google Sans" w:eastAsia="Google Sans" w:hAnsi="Google Sans"/>
          <w:color w:val="1f1f1f"/>
        </w:rPr>
        <w:drawing>
          <wp:inline distB="19050" distT="19050" distL="19050" distR="19050">
            <wp:extent cx="688777" cy="24872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8777" cy="2487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statt </w:t>
      </w:r>
      <w:r w:rsidDel="00000000" w:rsidR="00000000" w:rsidRPr="00000000">
        <w:rPr>
          <w:rFonts w:ascii="Google Sans" w:cs="Google Sans" w:eastAsia="Google Sans" w:hAnsi="Google Sans"/>
          <w:color w:val="1f1f1f"/>
        </w:rPr>
        <w:drawing>
          <wp:inline distB="19050" distT="19050" distL="19050" distR="19050">
            <wp:extent cx="411063" cy="24855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1063" cy="248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 3: Der digitale Kollege (Enterprise Integration)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Visualisiert wird ein Organigramm eines Schweizer KMU. Auf jeder Ebene (Empfang, Backoffice, IT-Support, HR, Geschäftsleitung) sitzt ein „digitaler Kollege“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Der Nutzer klickt auf eine Abteilung und sieht sofort, wie der dortige Agent Routineaufgaben abfängt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Im HR übernimmt der Agent die automatisierte Dokumentenextraktion und das Onboarding; in der IT behebt er Serverprobleme selbstständig im Hintergrund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Dies befreit die menschlichen Mitarbeiter von repetitiven Lasten und führt zu einer nachweisbaren Steigerung der Mitarbeiterzufriedenheit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 4: Das Offline-SLM (Souveräne KI ohne Internet)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die Schweizer Kernwerte Sicherheit und Souveränität zu demonstrieren, verfügt die Seite über ein virtuelles „Kabel-Trennen“-Szenario. Der Nutzer klickt auf einen Schalter, der die Internetverbindung zur Cloud symbolisch kappt. Ein Indikator zeigt „Offline-Modus aktiv“</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Dennoch kann der Nutzer ein vertrauliches Dokument hochladen und analysieren lassen. Ein lokales Small Language Model (SLM) führt die Extraktion und Klassifizierung direkt auf dem Server (in der Simulation simuliert) ohne jeglichen Datenabfluss aus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Dies demonstriert ultimative Datensouveränität nach revDSG und FINMA-Vorgaben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Lead-Generierung und Konvertierungspfad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Jede Micro-Demo mündet direkt in einen personalisierten Call-to-Action (CTA). Am Ende der Interaktion wird kein generisches Kontaktformular eingeblendet, sondern ein dynamisches Dialogfeld: </w:t>
      </w:r>
      <w:r w:rsidDel="00000000" w:rsidR="00000000" w:rsidRPr="00000000">
        <w:rPr>
          <w:rFonts w:ascii="Google Sans" w:cs="Google Sans" w:eastAsia="Google Sans" w:hAnsi="Google Sans"/>
          <w:i w:val="1"/>
          <w:iCs w:val="1"/>
          <w:color w:val="1f1f1f"/>
          <w:rtl w:val="0"/>
        </w:rPr>
        <w:t xml:space="preserve">„Möchten Sie diese Lösung für Ihr Unternehmen (z. B. in der Finanzbranche) als individuelle Testversion auf Ihren eigenen Daten sehen? Buchen Sie jetzt Ihren 15-minütigen Architektur-Call.“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Durch den spielerischen Erkenntnisgewinn auf der Seite konvertieren nachweislich bis zu 20% der qualifizierten Besucher direkt in ein Erstgespräch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Produkt- und Serviceportfolio: Die 8 Kern-Pakete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das Angebot einfach, übersichtlich und ohne verwirrende technische Fachbegriffe am Markt zu platzieren, wird das gesamte Dienstleistungsportfolio von agenticit.ch in genau acht standardisierte Leistungspakete strukturiert. Diese spiegeln die fünf primären Menübereiche der Webseite wider und decken die gesamte Wertschöpfungskette von der autonomen IT über das GTM-Marketing bis hin zur hochsouveränen Administration ab.</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8-Pakete-System im Überblick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Paket-ID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Paketname &amp; Kernfokus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Zugeordnete Menüpunkte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Enthaltene Services &amp; SLAs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Kundendienst-KI "Kai" (Live-Agent)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Lösungen: Kundendienst-KI / 4. Branchen: Professional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Integrierter Avatar-Support, automatisiertes Voice- &amp; Chat-Handling, CRM-Synchronisation, 24/7-SLA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Sovereign Workflow &amp; Process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Lösungen: Prozessautomatisierung / 2. Technologie: Autonome KI-Agenten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Branchenspezifische Prozessketten, n8n/Make-Infrastruktur, automatisierte Ausnahmebehandlung (Human-in-the-Loop)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RevOps &amp; Growth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Lösungen: RevOps &amp; Growth / 4. Branchen: Industrie &amp; Handel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Automatisierte Lead-Recherche, Prospect-Enrichment, KI-gestützte Marketingkampagnen, Salesforce Data Cloud Sync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Sovereign Multi-Agent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Technologie: Multi-Agenten-Systeme / 3. Sicherheit: Datensouveränität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Orchestrator-Worker-Frameworks, parallele Task-Segmentierung, verschlüsselte lokale Token-Pufferung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Private Enterprise AI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Sicherheit: Private Enterprise KI / 3. Sicherheit: Lokale KI-Infrastruktur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On-Premise GPU-Setup, Virtual Private Server (VPS) in Schweizer Rechenzentren, Zero-Trust-Access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Fiduciary &amp; Financial Copilot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Branchen: Finanzwesen &amp; Treuhand / 3. Sicherheit: Datensouveränität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FINMA-konforme Belegextraktion, automatisierte Steuer- &amp; Bilanzprüfungen, Bankgeheimnis-geschützte lokale RAG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Offline Mini-Language-Model (MLM)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Sicherheit: Lokale KI-Infrastruktur / 4. Branchen: Industrie &amp; Handel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Edge-Modell-Bereitstellung, Quantisierte 4-Bit-Modellvarianten (Phi-3, LLaMA), 100% internetunabhängige Inferenz</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PKG-8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Enterprise-Integration &amp; Digital Colleague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Technologie: Enterprise-Integration / 5. Unternehmen: Praxisbeispiele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Ganzheitliche Mitarbeiter-Entlastung über alle Abteilungen, Schulung der Fachbereiche, Change-Management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Technische Architektur &amp; Skalierung: Der parallele Multi-Agenten-Ansatz und Offline-SLMs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technologische Vorreiterrolle von agenticit.ch manifestiert sich in zwei Kernarchitekturen, die das Fundament für Skalierbarkeit, Performance und Datensicherheit bilden: dem parallelen Multi-Agenten-Design und der Implementierung von internetunabhängigen Mini-Language-Models (MLM / SLM) in sovereignen Schweizer Infrastrukturen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Sequentielle vs. Parallele Multi-Agenten-Systeme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Herkömmliche KI-Workflows leiden unter hohen Latenzzeiten und kaskadierenden Fehlern, da Aufgaben nacheinander abgearbeitet werden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Jedes Glied in der Kette muss auf die Antwort des vorherigen warten. Das mathematische Modell für die sequentielle Ausführungszeit </w:t>
      </w:r>
      <w:r w:rsidDel="00000000" w:rsidR="00000000" w:rsidRPr="00000000">
        <w:rPr>
          <w:rFonts w:ascii="Google Sans" w:cs="Google Sans" w:eastAsia="Google Sans" w:hAnsi="Google Sans"/>
          <w:color w:val="1f1f1f"/>
        </w:rPr>
        <w:drawing>
          <wp:inline distB="19050" distT="19050" distL="19050" distR="19050">
            <wp:extent cx="311497" cy="245422"/>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1497" cy="245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lautet: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14336"/>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05500" cy="101433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Wobei </w:t>
      </w:r>
      <w:r w:rsidDel="00000000" w:rsidR="00000000" w:rsidRPr="00000000">
        <w:rPr>
          <w:rFonts w:ascii="Google Sans" w:cs="Google Sans" w:eastAsia="Google Sans" w:hAnsi="Google Sans"/>
          <w:color w:val="1f1f1f"/>
        </w:rPr>
        <w:drawing>
          <wp:inline distB="19050" distT="19050" distL="19050" distR="19050">
            <wp:extent cx="171450" cy="24765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14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die Bearbeitungszeit des einzelnen Teilschritts beschreibt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Das hier implementierte Multi-Agenten-Framework nutzt ein hochentwickeltes </w:t>
      </w:r>
      <w:r w:rsidDel="00000000" w:rsidR="00000000" w:rsidRPr="00000000">
        <w:rPr>
          <w:rFonts w:ascii="Google Sans" w:cs="Google Sans" w:eastAsia="Google Sans" w:hAnsi="Google Sans"/>
          <w:b w:val="1"/>
          <w:bCs w:val="1"/>
          <w:color w:val="1f1f1f"/>
          <w:rtl w:val="0"/>
        </w:rPr>
        <w:t xml:space="preserve">Orchestrator-Worker-Pattern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Ein zentraler Orchestrator-Agent analysiert das Gesamtziel, zerlegt es in unabhängige Segmente (Decomposition) und verteilt diese an spezialisierte Sub-Agenten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Diese Sub-Agenten arbeiten zeitgleich auf physisch separaten Recheninstanzen mit isolierten Kontextfenstern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Dadurch skaliert die Gesamtverarbeitungszeit </w:t>
      </w:r>
      <w:r w:rsidDel="00000000" w:rsidR="00000000" w:rsidRPr="00000000">
        <w:rPr>
          <w:rFonts w:ascii="Google Sans" w:cs="Google Sans" w:eastAsia="Google Sans" w:hAnsi="Google Sans"/>
          <w:color w:val="1f1f1f"/>
        </w:rPr>
        <w:drawing>
          <wp:inline distB="19050" distT="19050" distL="19050" distR="19050">
            <wp:extent cx="322659" cy="24674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2659" cy="246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drastisch effizienter: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0493"/>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05500" cy="67049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Wobei </w:t>
      </w:r>
      <w:r w:rsidDel="00000000" w:rsidR="00000000" w:rsidRPr="00000000">
        <w:rPr>
          <w:rFonts w:ascii="Google Sans" w:cs="Google Sans" w:eastAsia="Google Sans" w:hAnsi="Google Sans"/>
          <w:color w:val="1f1f1f"/>
        </w:rPr>
        <w:drawing>
          <wp:inline distB="19050" distT="19050" distL="19050" distR="19050">
            <wp:extent cx="654248" cy="246528"/>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54248" cy="246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 minimalen Zeitaufwand beschreibt, den der Orchestrator benötigt, um die Teilergebnisse zusammenzuführen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Architektur-Dimension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Sequentielle Agenten-Kette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Paralleles Multi-Agenten-System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Latenz (Laufzeit)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Hoch; steigt linear mit jeder neuen Teilaufgabe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Minimal; nahezu konstant bei Skalierung der Aufgaben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Kontext-Management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Kontext-Rotting; nachfolgende Agenten verlieren den Bezug zur Ursprungsaufgabe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Saubere Kapselung; jeder Worker erhält nur den für ihn relevanten Kontext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Fehlertoleranz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Cascading Failure; scheitert ein Agent, bricht die gesamte Kette zusammen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Fehlereindämmung; scheitert ein Worker, kann der Orchestrator ihn isoliert neu starten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Ressourcenverbrauch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Gering pro Zeiteinheit, aber lange Belegung von Rechenzeit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Peak-Last auf GPUs, gefolgt von sofortiger Freigabe der Ressourcen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Offline-MLM-Architektur (Edge- und On-Premise-Infrastruktur)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Für Schweizer Unternehmen mit extremen Vertraulichkeitsanforderungen ist die Abhängigkeit von externen Cloud-APIs (z. B. OpenAI, Anthropic) oft ein Ausschlusskriterium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Die technische Antwort von agenticit.ch ist die Bereitstellung lokaler </w:t>
      </w:r>
      <w:r w:rsidDel="00000000" w:rsidR="00000000" w:rsidRPr="00000000">
        <w:rPr>
          <w:rFonts w:ascii="Google Sans" w:cs="Google Sans" w:eastAsia="Google Sans" w:hAnsi="Google Sans"/>
          <w:b w:val="1"/>
          <w:bCs w:val="1"/>
          <w:color w:val="1f1f1f"/>
          <w:rtl w:val="0"/>
        </w:rPr>
        <w:t xml:space="preserve">Mini-Language-Models (MLM / SLM)</w:t>
      </w:r>
      <w:r w:rsidDel="00000000" w:rsidR="00000000" w:rsidRPr="00000000">
        <w:rPr>
          <w:rFonts w:ascii="Google Sans" w:cs="Google Sans" w:eastAsia="Google Sans" w:hAnsi="Google Sans"/>
          <w:color w:val="1f1f1f"/>
          <w:rtl w:val="0"/>
        </w:rPr>
        <w:t xml:space="preserve"> mit weniger als 10 Milliarden Parametern, wie beispielsweise </w:t>
      </w:r>
      <w:r w:rsidDel="00000000" w:rsidR="00000000" w:rsidRPr="00000000">
        <w:rPr>
          <w:rFonts w:ascii="Google Sans" w:cs="Google Sans" w:eastAsia="Google Sans" w:hAnsi="Google Sans"/>
          <w:i w:val="1"/>
          <w:iCs w:val="1"/>
          <w:color w:val="1f1f1f"/>
          <w:rtl w:val="0"/>
        </w:rPr>
        <w:t xml:space="preserve">Microsoft Phi-3</w:t>
      </w:r>
      <w:r w:rsidDel="00000000" w:rsidR="00000000" w:rsidRPr="00000000">
        <w:rPr>
          <w:rFonts w:ascii="Google Sans" w:cs="Google Sans" w:eastAsia="Google Sans" w:hAnsi="Google Sans"/>
          <w:color w:val="1f1f1f"/>
          <w:rtl w:val="0"/>
        </w:rPr>
        <w:t xml:space="preserve"> oder </w:t>
      </w:r>
      <w:r w:rsidDel="00000000" w:rsidR="00000000" w:rsidRPr="00000000">
        <w:rPr>
          <w:rFonts w:ascii="Google Sans" w:cs="Google Sans" w:eastAsia="Google Sans" w:hAnsi="Google Sans"/>
          <w:i w:val="1"/>
          <w:iCs w:val="1"/>
          <w:color w:val="1f1f1f"/>
          <w:rtl w:val="0"/>
        </w:rPr>
        <w:t xml:space="preserve">Meta LLaMA 3.2 (3B)</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Dank moderner Kompressionstechniken können diese Modelle hocheffizient auf Standard-Hardware betrieben werden:</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Quantisierung (4-Bit-Präzision)</w:t>
      </w:r>
      <w:r w:rsidDel="00000000" w:rsidR="00000000" w:rsidRPr="00000000">
        <w:rPr>
          <w:rFonts w:ascii="Google Sans" w:cs="Google Sans" w:eastAsia="Google Sans" w:hAnsi="Google Sans"/>
          <w:color w:val="1f1f1f"/>
          <w:rtl w:val="0"/>
        </w:rPr>
        <w:t xml:space="preserve">: Reduziert den Speicherbedarf eines 7-Milliarden-Parameter-Modells von ursprünglich 14 GB auf lediglich 3.5 GB RAM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Dies ermöglicht die fehlerfreie Ausführung auf herkömmlichen Office-Servern oder Edge-Geräten ohne dedizierte, teure High-End-GPUs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Wissensdestillation &amp; LoRA (Low-Rank Adaptation)</w:t>
      </w:r>
      <w:r w:rsidDel="00000000" w:rsidR="00000000" w:rsidRPr="00000000">
        <w:rPr>
          <w:rFonts w:ascii="Google Sans" w:cs="Google Sans" w:eastAsia="Google Sans" w:hAnsi="Google Sans"/>
          <w:color w:val="1f1f1f"/>
          <w:rtl w:val="0"/>
        </w:rPr>
        <w:t xml:space="preserve">: Anstatt ein generisches Riesenmodell mit Milliarden Parametern zu betreiben, wird ein kompaktes SLM mittels LoRA gezielt auf die spezifische Fachsprache und die Dokumententypen des Kunden (z. B. Schweizer Treuhandformulare) feinjustiert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Mit nur 1'000 bis 5'000 hochwertigen Trainingsbeispielen erreicht das SLM in seinem Fachgebiet eine Genauigkeit, die der von globalen Cloud-Modellen in nichts nachsteht – bei einem Bruchteil der Betriebskosten und vollständig offline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Lokale RAG-Pipelines</w:t>
      </w:r>
      <w:r w:rsidDel="00000000" w:rsidR="00000000" w:rsidRPr="00000000">
        <w:rPr>
          <w:rFonts w:ascii="Google Sans" w:cs="Google Sans" w:eastAsia="Google Sans" w:hAnsi="Google Sans"/>
          <w:color w:val="1f1f1f"/>
          <w:rtl w:val="0"/>
        </w:rPr>
        <w:t xml:space="preserve">: Dokumente werden über eine lokale Vektordatenbank (z. B. Qdrant oder Milvus im On-Premise-Docker-Container) indiziert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Die semantische Suche und Informationsextraktion erfolgt komplett innerhalb des Intranets des Kunden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Es fließen zu keinem Zeitpunkt Daten über das Internet ab</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Schweizer Sovereign Cloud Hosting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Sämtliche Cloud-Lösungen, die nicht rein On-Premise betrieben werden, laufen ausschließlich in zertifizierten, rein schweizerischen Rechenzentren (z. B. Safe Swiss Cloud, EveryWare)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Diese Hosting-Infrastruktur bietet strukturelle Sicherheitsgarantien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Ausschluss ausländischer Gesetzgebung</w:t>
      </w:r>
      <w:r w:rsidDel="00000000" w:rsidR="00000000" w:rsidRPr="00000000">
        <w:rPr>
          <w:rFonts w:ascii="Google Sans" w:cs="Google Sans" w:eastAsia="Google Sans" w:hAnsi="Google Sans"/>
          <w:color w:val="1f1f1f"/>
          <w:rtl w:val="0"/>
        </w:rPr>
        <w:t xml:space="preserve">: Da die Betreibergesellschaften vollständig in Schweizer Hand sind und keine US-Mutterkonzerne existieren, greift der </w:t>
      </w:r>
      <w:r w:rsidDel="00000000" w:rsidR="00000000" w:rsidRPr="00000000">
        <w:rPr>
          <w:rFonts w:ascii="Google Sans" w:cs="Google Sans" w:eastAsia="Google Sans" w:hAnsi="Google Sans"/>
          <w:i w:val="1"/>
          <w:iCs w:val="1"/>
          <w:color w:val="1f1f1f"/>
          <w:rtl w:val="0"/>
        </w:rPr>
        <w:t xml:space="preserve">US CLOUD Act</w:t>
      </w:r>
      <w:r w:rsidDel="00000000" w:rsidR="00000000" w:rsidRPr="00000000">
        <w:rPr>
          <w:rFonts w:ascii="Google Sans" w:cs="Google Sans" w:eastAsia="Google Sans" w:hAnsi="Google Sans"/>
          <w:color w:val="1f1f1f"/>
          <w:rtl w:val="0"/>
        </w:rPr>
        <w:t xml:space="preserve"> nicht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Ausländische Behörden haben keinen legalen Zugriffspfad auf die gehosteten Unternehmensdaten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FINMA-Konformität</w:t>
      </w:r>
      <w:r w:rsidDel="00000000" w:rsidR="00000000" w:rsidRPr="00000000">
        <w:rPr>
          <w:rFonts w:ascii="Google Sans" w:cs="Google Sans" w:eastAsia="Google Sans" w:hAnsi="Google Sans"/>
          <w:color w:val="1f1f1f"/>
          <w:rtl w:val="0"/>
        </w:rPr>
        <w:t xml:space="preserve">: Die Rechenzentren sind nach ISO/IEC 27001 zertifiziert und erfüllen sämtliche Anforderungen des Rundschreibens </w:t>
      </w:r>
      <w:r w:rsidDel="00000000" w:rsidR="00000000" w:rsidRPr="00000000">
        <w:rPr>
          <w:rFonts w:ascii="Google Sans" w:cs="Google Sans" w:eastAsia="Google Sans" w:hAnsi="Google Sans"/>
          <w:i w:val="1"/>
          <w:iCs w:val="1"/>
          <w:color w:val="1f1f1f"/>
          <w:rtl w:val="0"/>
        </w:rPr>
        <w:t xml:space="preserve">FINMA RS 2018/3</w:t>
      </w:r>
      <w:r w:rsidDel="00000000" w:rsidR="00000000" w:rsidRPr="00000000">
        <w:rPr>
          <w:rFonts w:ascii="Google Sans" w:cs="Google Sans" w:eastAsia="Google Sans" w:hAnsi="Google Sans"/>
          <w:color w:val="1f1f1f"/>
          <w:rtl w:val="0"/>
        </w:rPr>
        <w:t xml:space="preserve"> (Outsourcing – Banken) sowie die strengen Vorgaben des Schweizer Datenschutzgesetzes (nFADP)</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Customer-Managed Encryption</w:t>
      </w:r>
      <w:r w:rsidDel="00000000" w:rsidR="00000000" w:rsidRPr="00000000">
        <w:rPr>
          <w:rFonts w:ascii="Google Sans" w:cs="Google Sans" w:eastAsia="Google Sans" w:hAnsi="Google Sans"/>
          <w:color w:val="1f1f1f"/>
          <w:rtl w:val="0"/>
        </w:rPr>
        <w:t xml:space="preserve">: Die Entschlüsselungs-Keys verbleiben unter der exklusiven Kontrolle des Kunden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Selbst der Cloud-Infrastrukturbetreiber hat technisch keine Möglichkeit, die Daten einzusehen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und Lokalisierungsstrategie für den Schweizer B2B-Markt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Gewinnung von hochwertigen organischen Leads im Schweizer B2B-Umfeld erfordert eine hochgradig lokalisierte SEO-Strategie. Da Entscheidungsträger in der Schweiz (insbesondere IT-Leiter, CFOs und CEOs) selten nach abstrakten, globalen Trendbegriffen suchen, sondern konkrete Lösungen für ihre regulatorischen und operativen Pain Points im lokalen Kontext benötigen, müssen die Keyword-Cluster exakt darauf ausgerichtet werden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Keyword-Priorisierungsmatrix für agenticit.ch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Suchbegriff (Keyword)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Suchintention (Intent)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Relevanz &amp; Strategischer USP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Ziel-Landingpage auf agenticit.ch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IT Schweiz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Transaktional / Brand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Etablierung als First-Mover für autonome IT-Infrastruktursysteme im lokalen Markt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Startseite (Home)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 Agenten für Unternehmen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Kommerziell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Holt Firmen ab, die den Schritt von reaktiven Chatbots hin zu echten operativen Machern vollziehen wollen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/technologie/autonome-agenten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 Agenten Datenschutz Schweiz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Informationell / Vertrauen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Kritischer Suchterm für hochsensible Branchen (Finance, Legal, Healthcare)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/sicherheit/datensouveraenitaet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On-Premise Agentic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Kommerziell / Technisch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Targetiert IT-Architekten, für die Cloud-Lösungen aus Compliance-Gründen verboten sind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/sicherheit/lokale-ki-infrastruktur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 Support automatisieren KI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Problemorientiert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Direktes Abfangen von IT-Leitern mit akutem Ressourcenmangel und hohem Kostendruck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/loesungen/prozessautomatisierung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AI Beratung Zürich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Lokal / Transaktional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 hohe Conversion-Wahrscheinlichkeit durch geografische Nähe im Schweizer Wirtschaftsraum.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/unternehmen/kontakt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Unterschied RPA und Agentic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Informationell / Education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Positionierung als Thought Leader; Aufklärung über die Grenzen starrer Automatisierung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/blog/rpa-vs-agentic-ai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FINMA konforme KI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Transaktional / Nische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Hochspezifischer Suchbegriff für Banken, Effektenhändler und regulierte Finanzdienstleister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/branchen/finanzwesen-treuhand</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Lokale SEO-Taktiken ("Swissness" als Konvertierungshebel)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organische Auffindbarkeit wird durch gezielte, schweizspezifische Content-Silos gestärkt:</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Fokus auf nFADP und FINMA</w:t>
      </w:r>
      <w:r w:rsidDel="00000000" w:rsidR="00000000" w:rsidRPr="00000000">
        <w:rPr>
          <w:rFonts w:ascii="Google Sans" w:cs="Google Sans" w:eastAsia="Google Sans" w:hAnsi="Google Sans"/>
          <w:color w:val="1f1f1f"/>
          <w:rtl w:val="0"/>
        </w:rPr>
        <w:t xml:space="preserve">: Erstellung von tiefgehenden Whitepapern und Case Studies, die sich explizit mit der Vereinbarkeit von autonomer KI und dem Schweizer Datenschutzgesetz (nFADP) sowie der revidierten Gesetzgebung befassen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Suchkombinationen wie </w:t>
      </w:r>
      <w:r w:rsidDel="00000000" w:rsidR="00000000" w:rsidRPr="00000000">
        <w:rPr>
          <w:rFonts w:ascii="Google Sans" w:cs="Google Sans" w:eastAsia="Google Sans" w:hAnsi="Google Sans"/>
          <w:i w:val="1"/>
          <w:iCs w:val="1"/>
          <w:color w:val="1f1f1f"/>
          <w:rtl w:val="0"/>
        </w:rPr>
        <w:t xml:space="preserve">„KI Agenten Treuhand Schweiz“</w:t>
      </w:r>
      <w:r w:rsidDel="00000000" w:rsidR="00000000" w:rsidRPr="00000000">
        <w:rPr>
          <w:rFonts w:ascii="Google Sans" w:cs="Google Sans" w:eastAsia="Google Sans" w:hAnsi="Google Sans"/>
          <w:color w:val="1f1f1f"/>
          <w:rtl w:val="0"/>
        </w:rPr>
        <w:t xml:space="preserve"> oder </w:t>
      </w:r>
      <w:r w:rsidDel="00000000" w:rsidR="00000000" w:rsidRPr="00000000">
        <w:rPr>
          <w:rFonts w:ascii="Google Sans" w:cs="Google Sans" w:eastAsia="Google Sans" w:hAnsi="Google Sans"/>
          <w:i w:val="1"/>
          <w:iCs w:val="1"/>
          <w:color w:val="1f1f1f"/>
          <w:rtl w:val="0"/>
        </w:rPr>
        <w:t xml:space="preserve">„Lokales LLM Bankgeheimnis Art. 47“</w:t>
      </w:r>
      <w:r w:rsidDel="00000000" w:rsidR="00000000" w:rsidRPr="00000000">
        <w:rPr>
          <w:rFonts w:ascii="Google Sans" w:cs="Google Sans" w:eastAsia="Google Sans" w:hAnsi="Google Sans"/>
          <w:color w:val="1f1f1f"/>
          <w:rtl w:val="0"/>
        </w:rPr>
        <w:t xml:space="preserve"> besitzen zwar ein moderates Suchvolumen, weisen jedoch eine nahezu hundertprozentige Conversion-Quote bei hochkarätigen Leads auf</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Geografische Landingpages</w:t>
      </w:r>
      <w:r w:rsidDel="00000000" w:rsidR="00000000" w:rsidRPr="00000000">
        <w:rPr>
          <w:rFonts w:ascii="Google Sans" w:cs="Google Sans" w:eastAsia="Google Sans" w:hAnsi="Google Sans"/>
          <w:color w:val="1f1f1f"/>
          <w:rtl w:val="0"/>
        </w:rPr>
        <w:t xml:space="preserve">: Da Schweizer B2B-Kunden für sensible IT-Projekte bevorzugt Partner aus der Region wählen, werden dedizierte Unterseiten für Wirtschaftsregionen erstellt (</w:t>
      </w:r>
      <w:r w:rsidDel="00000000" w:rsidR="00000000" w:rsidRPr="00000000">
        <w:rPr>
          <w:rFonts w:ascii="Google Sans" w:cs="Google Sans" w:eastAsia="Google Sans" w:hAnsi="Google Sans"/>
          <w:i w:val="1"/>
          <w:iCs w:val="1"/>
          <w:color w:val="1f1f1f"/>
          <w:rtl w:val="0"/>
        </w:rPr>
        <w:t xml:space="preserve">„KI Agenten Beratung Zürich“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„Prozessautomatisierung für KMU Bern“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„Sovereign AI Lösungen Basel“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Fachterminologie spiegeln</w:t>
      </w:r>
      <w:r w:rsidDel="00000000" w:rsidR="00000000" w:rsidRPr="00000000">
        <w:rPr>
          <w:rFonts w:ascii="Google Sans" w:cs="Google Sans" w:eastAsia="Google Sans" w:hAnsi="Google Sans"/>
          <w:color w:val="1f1f1f"/>
          <w:rtl w:val="0"/>
        </w:rPr>
        <w:t xml:space="preserve">: Der Content muss die typische Schweizer B2B-Tonalität widerspiegeln (z. B. korrekte Schreibweisen wie „Schweizer KMU“, „Treuhandwesen“, „regulierter Sektor“, Verzicht auf das deutsche „ß“). Dies signalisiert Professionalität und schafft unmittelbares Vertrauen bei lokalen Entscheidungsträgern.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Wirtschaftlichkeitsberechnung &amp; ROI-Framework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B2B-Sektor entscheiden keine technologischen Hypes, sondern nackte Zahlen. Jede Implementierung von Agentic AI muss sich an ihrer wirtschaftlichen Amortisation messen lassen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Das Wirtschaftlichkeits-Framework von agenticit.ch basiert auf der Eliminierung manueller Prozessschritte, der drastischen Senkung von Transaktionskosten und der Skalierung der operativen Kapazität ohne proportionalen Personalaufbau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Direkte Kostenstruktur im Vergleich</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Klassischer Kundensupport oder manuelle Backoffice-Sachbearbeitung weisen eine lineare Kostenstruktur auf: Mehr Volumen erfordert zwingend mehr Personal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Autonome Agenten brechen diese Korrelation auf</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t xml:space="preserve">Manuelle Bearbeitung (Kosten pro Fall):</w:t>
        <w:br w:type="textWrapping"/>
        <w:t xml:space="preserve">[Personal, Infrastruktur, Fehlerrate, Overhead] = CHF 6.50 - 8.00 / Fall</w:t>
        <w:br w:type="textWrapping"/>
        <w:br w:type="textWrapping"/>
        <w:t xml:space="preserve">Autonomer Agent (Kosten pro Fall):</w:t>
        <w:br w:type="textWrapping"/>
        <w:t xml:space="preserve">[Lokale Server-Inferenz, API-Token, Wartung] = CHF 0.50 - 0.70 / Fall</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Ein menschlicher Agent im Schweizer Kundendienst kostet inklusive Lohnnebenkosten, Arbeitsplatzinfrastruktur, Schulung und Ausfallzeiten durchschnittlich </w:t>
      </w:r>
      <w:r w:rsidDel="00000000" w:rsidR="00000000" w:rsidRPr="00000000">
        <w:rPr>
          <w:rFonts w:ascii="Google Sans" w:cs="Google Sans" w:eastAsia="Google Sans" w:hAnsi="Google Sans"/>
          <w:b w:val="1"/>
          <w:bCs w:val="1"/>
          <w:color w:val="1f1f1f"/>
          <w:rtl w:val="0"/>
        </w:rPr>
        <w:t xml:space="preserve">CHF 6.00 bis 8.00 pro Interaktion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Ein autonomer KI-Agent, der auf optimierten Systemen operiert, senkt diese Kosten auf </w:t>
      </w:r>
      <w:r w:rsidDel="00000000" w:rsidR="00000000" w:rsidRPr="00000000">
        <w:rPr>
          <w:rFonts w:ascii="Google Sans" w:cs="Google Sans" w:eastAsia="Google Sans" w:hAnsi="Google Sans"/>
          <w:b w:val="1"/>
          <w:bCs w:val="1"/>
          <w:color w:val="1f1f1f"/>
          <w:rtl w:val="0"/>
        </w:rPr>
        <w:t xml:space="preserve">CHF 0.50 bis 0.70 pro abgeschlossener Interaktion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Dies entspricht einer direkten Kostenreduktion von über 90% pro Fall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Wirtschaftliche Kennzahlen eines typischen KMU-Szenarios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Zur Veranschaulichung dient das folgende Berechnungsmodell für ein Schweizer KMU im Bereich Finanzdienstleistungen oder Handel mit einem monatlichen Arbeitsvolumen von 20'000 Routinefällen (z. B. Belegprüfungen, Kundenanfragen, Datenabgleiche)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Ausgangslage (Manuell)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20'000 Fälle pro Monat.</w:t>
      </w:r>
    </w:p>
    <w:p w:rsidR="00000000" w:rsidDel="00000000" w:rsidP="00000000" w:rsidRDefault="00000000" w:rsidRPr="00000000" w14:paraId="000000A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Durchschnittliche manuelle Bearbeitungszeit pro Fall: 6 Minuten.</w:t>
      </w:r>
    </w:p>
    <w:p w:rsidR="00000000" w:rsidDel="00000000" w:rsidP="00000000" w:rsidRDefault="00000000" w:rsidRPr="00000000" w14:paraId="000000AE">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Arbeitsaufwand: 2'000 Stunden/Monat (entspricht ca. 12 Vollzeitstellen / FTE).</w:t>
      </w:r>
    </w:p>
    <w:p w:rsidR="00000000" w:rsidDel="00000000" w:rsidP="00000000" w:rsidRDefault="00000000" w:rsidRPr="00000000" w14:paraId="000000AF">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Durchschnittliche Arbeitskosten pro Stunde: CHF 55.00.</w:t>
      </w:r>
    </w:p>
    <w:p w:rsidR="00000000" w:rsidDel="00000000" w:rsidP="00000000" w:rsidRDefault="00000000" w:rsidRPr="00000000" w14:paraId="000000B0">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Gesamte manuelle Betriebskosten: CHF 110'000 / Monat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Szenario nach Einführung des "Autonomous Process Orchestrator" (Paket 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Erwartete autonome Erledigungsquote (Containment-Rate): 70% (14'000 Fälle werden vollautonom ohne menschliches Zutun gelöst)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Menschliche Nachbearbeitung / Ausnahmen (30%): 6'000 Fälle verbleiben beim Team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Neue Arbeitskosten (Mensch): CHF 33'000 / Monat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Betriebskosten der KI-Agenten (Server, Lizenzen, API-Token, Support-Retainer): CHF 4'500 / Monat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Neue Gesamtbetriebskosten: CHF 37'500 / Monat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 monatliche Netto-Ersparnis beläuft sich somit auf </w:t>
      </w:r>
      <w:r w:rsidDel="00000000" w:rsidR="00000000" w:rsidRPr="00000000">
        <w:rPr>
          <w:rFonts w:ascii="Google Sans" w:cs="Google Sans" w:eastAsia="Google Sans" w:hAnsi="Google Sans"/>
          <w:b w:val="1"/>
          <w:bCs w:val="1"/>
          <w:color w:val="1f1f1f"/>
          <w:rtl w:val="0"/>
        </w:rPr>
        <w:t xml:space="preserve">CHF 72'500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12529" cy="238603"/>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12529" cy="238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Bei einer einmaligen Setup-Gebühr von CHF 15'000 amortisiert sich das gesamte Projekt bereits im </w:t>
      </w:r>
      <w:r w:rsidDel="00000000" w:rsidR="00000000" w:rsidRPr="00000000">
        <w:rPr>
          <w:rFonts w:ascii="Google Sans" w:cs="Google Sans" w:eastAsia="Google Sans" w:hAnsi="Google Sans"/>
          <w:b w:val="1"/>
          <w:bCs w:val="1"/>
          <w:color w:val="1f1f1f"/>
          <w:rtl w:val="0"/>
        </w:rPr>
        <w:t xml:space="preserve">ersten Betriebsmonat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54351" cy="237845"/>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654351" cy="2378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3-Jahres-ROI-Szenario für ein Enterprise-Unternehmen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Bei größeren Organisationen und Konzernen multiplizieren sich diese Effekte über die Zeit, da die Systeme kontinuierlich lernen, Edge-Cases selbstständig minimieren und die Betriebskosten der Modelle durch Optimierungen sinken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rFonts w:ascii="Google Sans" w:cs="Google Sans" w:eastAsia="Google Sans" w:hAnsi="Google Sans"/>
          <w:color w:val="1f1f1f"/>
          <w:shd w:fill="141414" w:val="clear"/>
        </w:rPr>
      </w:pPr>
      <w:r w:rsidDel="00000000" w:rsidR="00000000" w:rsidRPr="00000000">
        <w:rPr>
          <w:rtl w:val="0"/>
        </w:rPr>
        <w:t xml:space="preserve">Kumulierter finanzieller Nutzen über 3 Jahre (in Mio. CHF):</w:t>
        <w:br w:type="textWrapping"/>
        <w:br w:type="textWrapping"/>
        <w:t xml:space="preserve">Jahr 1: [ Nutzen: CHF 0.96M  |  Kosten: CHF 0.22M ]  ==&gt; Netto-Ersparnis: CHF 0.74M</w:t>
        <w:br w:type="textWrapping"/>
        <w:t xml:space="preserve">Jahr 2: [ Nutzen: CHF 1.45M  |  Kosten: CHF 0.12M ]  ==&gt; Netto-Ersparnis: CHF 1.33M</w:t>
        <w:br w:type="textWrapping"/>
        <w:t xml:space="preserve">Jahr 3: [ Nutzen: CHF 1.98M  |  Kosten: CHF 0.12M ]  ==&gt; Netto-Ersparnis: CHF 1.86M</w:t>
        <w:br w:type="textWrapping"/>
        <w:br w:type="textWrapping"/>
        <w:t xml:space="preserve">Kumulierter 3-Jahres-Nettonutzen: CHF 3.93 Millionen</w:t>
        <w:br w:type="textWrapp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diesem Enterprise-Szenario wird von 100'000 monatlichen Interaktionen ausgegangen. Während im ersten Jahr beträchtliche Investitionen in die IT-Infrastruktur, die Integration der Legacy-Systeme und das Change-Management fließen, sinken die laufenden Kosten in den Folgejahren drastisch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Gleichzeitig steigt die autonome Containment-Rate von anfangs 50% auf 75% im dritten Jahr an, was zu einem kumulierten Nettonutzen von knapp 4 Millionen CHF führt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Nicht-monetärer Nutzen (Soft ROI)</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Neben den direkt messbaren finanziellen Einsparungen generiert der Einsatz von Agentic IT signifikante, strategische Wettbewerbsvorteile, die den langfristigen Unternehmenserfolg sichern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Mitarbeiterzufriedenheit &amp; Talent Retention</w:t>
      </w:r>
      <w:r w:rsidDel="00000000" w:rsidR="00000000" w:rsidRPr="00000000">
        <w:rPr>
          <w:rFonts w:ascii="Google Sans" w:cs="Google Sans" w:eastAsia="Google Sans" w:hAnsi="Google Sans"/>
          <w:color w:val="1f1f1f"/>
          <w:rtl w:val="0"/>
        </w:rPr>
        <w:t xml:space="preserve">: Durch die Übergabe monotoner, repetitiver Datenerfassungs- und Triage-Aufgaben an digitale Kollegen können sich die qualifizierten Fachkräfte auf kreative, beratende und strategisch wertvolle Tätigkeiten fokussieren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Dies senkt die Fluktuation im Team nachweislich um 5–10% und reduziert die Rekrutierungskosten erheblich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Fehlerreduktion &amp; Compliance-Sicherheit</w:t>
      </w:r>
      <w:r w:rsidDel="00000000" w:rsidR="00000000" w:rsidRPr="00000000">
        <w:rPr>
          <w:rFonts w:ascii="Google Sans" w:cs="Google Sans" w:eastAsia="Google Sans" w:hAnsi="Google Sans"/>
          <w:color w:val="1f1f1f"/>
          <w:rtl w:val="0"/>
        </w:rPr>
        <w:t xml:space="preserve">: Während menschliche Bearbeiter bei monotonen Tätigkeiten unter Konzentrationsabfall leiden, arbeiten autonome Agenten mit einer konstanten, mathematisch verifizierbaren Präzision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Die Fehlerquote in der Beleg- und Datenverarbeitung sinkt im Schnitt um 30–60%</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Gleichzeitig wird jeder einzelne Prozessschritt lückenlos und manipulationssicher in einem Audit-Log protokolliert, was die Einhaltung strenger regulatorischer Vorgaben (z. B. FINMA-Audits) massiv vereinfacht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Ausfallsicherheit &amp; Skalierbarkeit bei Lastspitzen</w:t>
      </w:r>
      <w:r w:rsidDel="00000000" w:rsidR="00000000" w:rsidRPr="00000000">
        <w:rPr>
          <w:rFonts w:ascii="Google Sans" w:cs="Google Sans" w:eastAsia="Google Sans" w:hAnsi="Google Sans"/>
          <w:color w:val="1f1f1f"/>
          <w:rtl w:val="0"/>
        </w:rPr>
        <w:t xml:space="preserve">: Unvorhergesehene Ereignisse, saisonale Schwankungen (z. B. Black Friday im Handel) oder Systemausfälle führen bei klassischen Strukturen zu massiven Überlastungen und SLA-Verletzungen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Agentensysteme skalieren bei Bedarf in Sekundenbruchteilen durch das dynamische Zuschalten virtueller Rechenressourcen, ohne dass zusätzliche temporäre Mitarbeiter eingestellt oder geschult werden müssen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 diesem ganzheitlichen Ansatz – einer Kombination aus modernster, paralleler Agenten-Technologie, kompromissloser lokaler Datensicherheit und einem unmissverständlichen Fokus auf den direkten wirtschaftlichen Nutzen – bietet agenticit.ch Schweizer Unternehmen genau das Werkzeug, das sie benötigen, um im Zeitalter der künstlichen Intelligenz die operative Führung zu übernehmen und nachhaltiges, hochprofitables Wachstum zu realisieren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What It Is and Where It Fits in CX &amp; Call Centres - acxpa, </w:t>
      </w:r>
      <w:hyperlink r:id="rId17">
        <w:r w:rsidDel="00000000" w:rsidR="00000000" w:rsidRPr="00000000">
          <w:rPr>
            <w:rFonts w:ascii="Google Sans" w:cs="Google Sans" w:eastAsia="Google Sans" w:hAnsi="Google Sans"/>
            <w:color w:val="0000ee"/>
            <w:sz w:val="24"/>
            <w:szCs w:val="24"/>
            <w:u w:val="single"/>
            <w:rtl w:val="0"/>
          </w:rPr>
          <w:t xml:space="preserve">https://acxpa.com.au/glossary/agentic-ai/</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Salesforce Pushes 'Agentic Enterprise' Vision with Telecom AI Agents and New AI Work Metric - ERP Today, </w:t>
      </w:r>
      <w:hyperlink r:id="rId18">
        <w:r w:rsidDel="00000000" w:rsidR="00000000" w:rsidRPr="00000000">
          <w:rPr>
            <w:rFonts w:ascii="Google Sans" w:cs="Google Sans" w:eastAsia="Google Sans" w:hAnsi="Google Sans"/>
            <w:color w:val="0000ee"/>
            <w:sz w:val="24"/>
            <w:szCs w:val="24"/>
            <w:u w:val="single"/>
            <w:rtl w:val="0"/>
          </w:rPr>
          <w:t xml:space="preserve">https://erp.today/salesforce-pushes-agentic-enterprise-vision-with-telecom-ai-agents-and-new-ai-work-metric/</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Agentic Automation: AI Agents &amp; Workflows | Informatica, </w:t>
      </w:r>
      <w:hyperlink r:id="rId19">
        <w:r w:rsidDel="00000000" w:rsidR="00000000" w:rsidRPr="00000000">
          <w:rPr>
            <w:rFonts w:ascii="Google Sans" w:cs="Google Sans" w:eastAsia="Google Sans" w:hAnsi="Google Sans"/>
            <w:color w:val="0000ee"/>
            <w:sz w:val="24"/>
            <w:szCs w:val="24"/>
            <w:u w:val="single"/>
            <w:rtl w:val="0"/>
          </w:rPr>
          <w:t xml:space="preserve">https://www.informatica.com/resources/articles/enterprise-agentic-automation.html</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the Enterprise: The Process Intelligence Foundation Behind Real ROI, </w:t>
      </w:r>
      <w:hyperlink r:id="rId20">
        <w:r w:rsidDel="00000000" w:rsidR="00000000" w:rsidRPr="00000000">
          <w:rPr>
            <w:rFonts w:ascii="Google Sans" w:cs="Google Sans" w:eastAsia="Google Sans" w:hAnsi="Google Sans"/>
            <w:color w:val="0000ee"/>
            <w:sz w:val="24"/>
            <w:szCs w:val="24"/>
            <w:u w:val="single"/>
            <w:rtl w:val="0"/>
          </w:rPr>
          <w:t xml:space="preserve">https://www.skan.ai/blogs/agentic-ai-enterprise-process-intelligence-roi</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Session by Fidelma Russo - The path to an agentic enterprise | HPE India, </w:t>
      </w:r>
      <w:hyperlink r:id="rId21">
        <w:r w:rsidDel="00000000" w:rsidR="00000000" w:rsidRPr="00000000">
          <w:rPr>
            <w:rFonts w:ascii="Google Sans" w:cs="Google Sans" w:eastAsia="Google Sans" w:hAnsi="Google Sans"/>
            <w:color w:val="0000ee"/>
            <w:sz w:val="24"/>
            <w:szCs w:val="24"/>
            <w:u w:val="single"/>
            <w:rtl w:val="0"/>
          </w:rPr>
          <w:t xml:space="preserve">https://www.hpe.com/in/en/resource-library.video.general-session-by-fidelma-russo-the-path-to-an-agentic-enterprise.Discover2026-GS1864.html</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Cloud in Geneva &amp; Switzerland | Secure Hosting - 1SWISS1, </w:t>
      </w:r>
      <w:hyperlink r:id="rId22">
        <w:r w:rsidDel="00000000" w:rsidR="00000000" w:rsidRPr="00000000">
          <w:rPr>
            <w:rFonts w:ascii="Google Sans" w:cs="Google Sans" w:eastAsia="Google Sans" w:hAnsi="Google Sans"/>
            <w:color w:val="0000ee"/>
            <w:sz w:val="24"/>
            <w:szCs w:val="24"/>
            <w:u w:val="single"/>
            <w:rtl w:val="0"/>
          </w:rPr>
          <w:t xml:space="preserve">https://www.1swiss1.com/en/enterprise-cloud</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Swiss Banks: How to Balance Secrecy &amp; CRS Compliance with Encryption - Kiteworks, </w:t>
      </w:r>
      <w:hyperlink r:id="rId23">
        <w:r w:rsidDel="00000000" w:rsidR="00000000" w:rsidRPr="00000000">
          <w:rPr>
            <w:rFonts w:ascii="Google Sans" w:cs="Google Sans" w:eastAsia="Google Sans" w:hAnsi="Google Sans"/>
            <w:color w:val="0000ee"/>
            <w:sz w:val="24"/>
            <w:szCs w:val="24"/>
            <w:u w:val="single"/>
            <w:rtl w:val="0"/>
          </w:rPr>
          <w:t xml:space="preserve">https://www.kiteworks.com/regulatory-compliance/swiss-banks-banking-secrecy-crs-compliance/</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Sovereignty for Switzerland - Atos, </w:t>
      </w:r>
      <w:hyperlink r:id="rId24">
        <w:r w:rsidDel="00000000" w:rsidR="00000000" w:rsidRPr="00000000">
          <w:rPr>
            <w:rFonts w:ascii="Google Sans" w:cs="Google Sans" w:eastAsia="Google Sans" w:hAnsi="Google Sans"/>
            <w:color w:val="0000ee"/>
            <w:sz w:val="24"/>
            <w:szCs w:val="24"/>
            <w:u w:val="single"/>
            <w:rtl w:val="0"/>
          </w:rPr>
          <w:t xml:space="preserve">https://atos.net/en/lp/digital-sovereignty-for-switzerland</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Micro Demo + Use Cases &amp; Examples - Storylane, </w:t>
      </w:r>
      <w:hyperlink r:id="rId25">
        <w:r w:rsidDel="00000000" w:rsidR="00000000" w:rsidRPr="00000000">
          <w:rPr>
            <w:rFonts w:ascii="Google Sans" w:cs="Google Sans" w:eastAsia="Google Sans" w:hAnsi="Google Sans"/>
            <w:color w:val="0000ee"/>
            <w:sz w:val="24"/>
            <w:szCs w:val="24"/>
            <w:u w:val="single"/>
            <w:rtl w:val="0"/>
          </w:rPr>
          <w:t xml:space="preserve">https://www.storylane.io/blog/micro-demos</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the 6 Types of Product Demos - Storylane, </w:t>
      </w:r>
      <w:hyperlink r:id="rId26">
        <w:r w:rsidDel="00000000" w:rsidR="00000000" w:rsidRPr="00000000">
          <w:rPr>
            <w:rFonts w:ascii="Google Sans" w:cs="Google Sans" w:eastAsia="Google Sans" w:hAnsi="Google Sans"/>
            <w:color w:val="0000ee"/>
            <w:sz w:val="24"/>
            <w:szCs w:val="24"/>
            <w:u w:val="single"/>
            <w:rtl w:val="0"/>
          </w:rPr>
          <w:t xml:space="preserve">https://www.storylane.io/feeds/blog/types-demos</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the ROI of Agentic AI in Customer Experience Strategies | NiCE, </w:t>
      </w:r>
      <w:hyperlink r:id="rId27">
        <w:r w:rsidDel="00000000" w:rsidR="00000000" w:rsidRPr="00000000">
          <w:rPr>
            <w:rFonts w:ascii="Google Sans" w:cs="Google Sans" w:eastAsia="Google Sans" w:hAnsi="Google Sans"/>
            <w:color w:val="0000ee"/>
            <w:sz w:val="24"/>
            <w:szCs w:val="24"/>
            <w:u w:val="single"/>
            <w:rtl w:val="0"/>
          </w:rPr>
          <w:t xml:space="preserve">https://www.nice.com/agentic-ai/roi-of-agentic-ai-in-customer-experience</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Agency Cost: How Much Should You Budget in 2026? - Taskip, </w:t>
      </w:r>
      <w:hyperlink r:id="rId28">
        <w:r w:rsidDel="00000000" w:rsidR="00000000" w:rsidRPr="00000000">
          <w:rPr>
            <w:rFonts w:ascii="Google Sans" w:cs="Google Sans" w:eastAsia="Google Sans" w:hAnsi="Google Sans"/>
            <w:color w:val="0000ee"/>
            <w:sz w:val="24"/>
            <w:szCs w:val="24"/>
            <w:u w:val="single"/>
            <w:rtl w:val="0"/>
          </w:rPr>
          <w:t xml:space="preserve">https://taskip.net/ai-automation-agency-cost/</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AI Agent ROI To Prove Transformation - Blue Prism, </w:t>
      </w:r>
      <w:hyperlink r:id="rId29">
        <w:r w:rsidDel="00000000" w:rsidR="00000000" w:rsidRPr="00000000">
          <w:rPr>
            <w:rFonts w:ascii="Google Sans" w:cs="Google Sans" w:eastAsia="Google Sans" w:hAnsi="Google Sans"/>
            <w:color w:val="0000ee"/>
            <w:sz w:val="24"/>
            <w:szCs w:val="24"/>
            <w:u w:val="single"/>
            <w:rtl w:val="0"/>
          </w:rPr>
          <w:t xml:space="preserve">https://www.blueprism.com/resources/blog/ai-agent-roi/</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Artificial Intelligence Companies in Switzerland - 2026 Reviews - Goodfirms, </w:t>
      </w:r>
      <w:hyperlink r:id="rId30">
        <w:r w:rsidDel="00000000" w:rsidR="00000000" w:rsidRPr="00000000">
          <w:rPr>
            <w:rFonts w:ascii="Google Sans" w:cs="Google Sans" w:eastAsia="Google Sans" w:hAnsi="Google Sans"/>
            <w:color w:val="0000ee"/>
            <w:sz w:val="24"/>
            <w:szCs w:val="24"/>
            <w:u w:val="single"/>
            <w:rtl w:val="0"/>
          </w:rPr>
          <w:t xml:space="preserve">https://www.goodfirms.co/artificial-intelligence/switzerland</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Agentforce Interactive Demos - Salesforce, </w:t>
      </w:r>
      <w:hyperlink r:id="rId31">
        <w:r w:rsidDel="00000000" w:rsidR="00000000" w:rsidRPr="00000000">
          <w:rPr>
            <w:rFonts w:ascii="Google Sans" w:cs="Google Sans" w:eastAsia="Google Sans" w:hAnsi="Google Sans"/>
            <w:color w:val="0000ee"/>
            <w:sz w:val="24"/>
            <w:szCs w:val="24"/>
            <w:u w:val="single"/>
            <w:rtl w:val="0"/>
          </w:rPr>
          <w:t xml:space="preserve">https://www.salesforce.com/agentforce/demos/interactive/</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Product Demo Examples You Can Click Through (2026) | Supademo Blog, </w:t>
      </w:r>
      <w:hyperlink r:id="rId32">
        <w:r w:rsidDel="00000000" w:rsidR="00000000" w:rsidRPr="00000000">
          <w:rPr>
            <w:rFonts w:ascii="Google Sans" w:cs="Google Sans" w:eastAsia="Google Sans" w:hAnsi="Google Sans"/>
            <w:color w:val="0000ee"/>
            <w:sz w:val="24"/>
            <w:szCs w:val="24"/>
            <w:u w:val="single"/>
            <w:rtl w:val="0"/>
          </w:rPr>
          <w:t xml:space="preserve">https://supademo.com/blog/demo-video-examples</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vector_search - LLMOps Database - ZenML, </w:t>
      </w:r>
      <w:hyperlink r:id="rId33">
        <w:r w:rsidDel="00000000" w:rsidR="00000000" w:rsidRPr="00000000">
          <w:rPr>
            <w:rFonts w:ascii="Google Sans" w:cs="Google Sans" w:eastAsia="Google Sans" w:hAnsi="Google Sans"/>
            <w:color w:val="0000ee"/>
            <w:sz w:val="24"/>
            <w:szCs w:val="24"/>
            <w:u w:val="single"/>
            <w:rtl w:val="0"/>
          </w:rPr>
          <w:t xml:space="preserve">https://www.zenml.io/llmops-tags/vector-search</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Agencies: 2026 Guide | The JADA Squad, </w:t>
      </w:r>
      <w:hyperlink r:id="rId34">
        <w:r w:rsidDel="00000000" w:rsidR="00000000" w:rsidRPr="00000000">
          <w:rPr>
            <w:rFonts w:ascii="Google Sans" w:cs="Google Sans" w:eastAsia="Google Sans" w:hAnsi="Google Sans"/>
            <w:color w:val="0000ee"/>
            <w:sz w:val="24"/>
            <w:szCs w:val="24"/>
            <w:u w:val="single"/>
            <w:rtl w:val="0"/>
          </w:rPr>
          <w:t xml:space="preserve">https://www.jadasquad.com/blog/ai-automation-agencies</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Claude Opus 4.8 Dynamic Workflows? Parallel Sub-Agents Explained - MindStudio, </w:t>
      </w:r>
      <w:hyperlink r:id="rId35">
        <w:r w:rsidDel="00000000" w:rsidR="00000000" w:rsidRPr="00000000">
          <w:rPr>
            <w:rFonts w:ascii="Google Sans" w:cs="Google Sans" w:eastAsia="Google Sans" w:hAnsi="Google Sans"/>
            <w:color w:val="0000ee"/>
            <w:sz w:val="24"/>
            <w:szCs w:val="24"/>
            <w:u w:val="single"/>
            <w:rtl w:val="0"/>
          </w:rPr>
          <w:t xml:space="preserve">https://www.mindstudio.ai/blog/what-is-claude-opus-4-8-dynamic-workflows-parallel-sub-agents</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AI Brain or a Team? A Practical Guide to Multi-Agent System Design - Medium, </w:t>
      </w:r>
      <w:hyperlink r:id="rId36">
        <w:r w:rsidDel="00000000" w:rsidR="00000000" w:rsidRPr="00000000">
          <w:rPr>
            <w:rFonts w:ascii="Google Sans" w:cs="Google Sans" w:eastAsia="Google Sans" w:hAnsi="Google Sans"/>
            <w:color w:val="0000ee"/>
            <w:sz w:val="24"/>
            <w:szCs w:val="24"/>
            <w:u w:val="single"/>
            <w:rtl w:val="0"/>
          </w:rPr>
          <w:t xml:space="preserve">https://medium.com/@Micheal-Lanham/one-ai-brain-or-a-team-a-practical-guide-to-multi-agent-system-design-5243b6fca9ff</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multi agent systems in making software engineers AI-native - Resolve.ai, </w:t>
      </w:r>
      <w:hyperlink r:id="rId37">
        <w:r w:rsidDel="00000000" w:rsidR="00000000" w:rsidRPr="00000000">
          <w:rPr>
            <w:rFonts w:ascii="Google Sans" w:cs="Google Sans" w:eastAsia="Google Sans" w:hAnsi="Google Sans"/>
            <w:color w:val="0000ee"/>
            <w:sz w:val="24"/>
            <w:szCs w:val="24"/>
            <w:u w:val="single"/>
            <w:rtl w:val="0"/>
          </w:rPr>
          <w:t xml:space="preserve">https://resolve.ai/blog/role-of-multi-agent-systems-AI-native-engineering</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Small Language Models Making Waves in AI in 2026 - Kanerika, </w:t>
      </w:r>
      <w:hyperlink r:id="rId38">
        <w:r w:rsidDel="00000000" w:rsidR="00000000" w:rsidRPr="00000000">
          <w:rPr>
            <w:rFonts w:ascii="Google Sans" w:cs="Google Sans" w:eastAsia="Google Sans" w:hAnsi="Google Sans"/>
            <w:color w:val="0000ee"/>
            <w:sz w:val="24"/>
            <w:szCs w:val="24"/>
            <w:u w:val="single"/>
            <w:rtl w:val="0"/>
          </w:rPr>
          <w:t xml:space="preserve">https://kanerika.com/blogs/small-language-models/</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Language Model: A Practical Guide for SMEs and Enterprises, </w:t>
      </w:r>
      <w:hyperlink r:id="rId39">
        <w:r w:rsidDel="00000000" w:rsidR="00000000" w:rsidRPr="00000000">
          <w:rPr>
            <w:rFonts w:ascii="Google Sans" w:cs="Google Sans" w:eastAsia="Google Sans" w:hAnsi="Google Sans"/>
            <w:color w:val="0000ee"/>
            <w:sz w:val="24"/>
            <w:szCs w:val="24"/>
            <w:u w:val="single"/>
            <w:rtl w:val="0"/>
          </w:rPr>
          <w:t xml:space="preserve">https://www.gdsonline.tech/small-language-model/</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Language Models: Your Next Path from AI Experimentation to Enterprise Production | by Karen Pfeifer | Medium, </w:t>
      </w:r>
      <w:hyperlink r:id="rId40">
        <w:r w:rsidDel="00000000" w:rsidR="00000000" w:rsidRPr="00000000">
          <w:rPr>
            <w:rFonts w:ascii="Google Sans" w:cs="Google Sans" w:eastAsia="Google Sans" w:hAnsi="Google Sans"/>
            <w:color w:val="0000ee"/>
            <w:sz w:val="24"/>
            <w:szCs w:val="24"/>
            <w:u w:val="single"/>
            <w:rtl w:val="0"/>
          </w:rPr>
          <w:t xml:space="preserve">https://medium.com/@karenpfeifer/small-language-models-your-next-path-from-ai-experimentation-to-enterprise-production-52e6685e9039</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File Server Switzerland – Secure File Sharing | Safe Swiss Cloud, </w:t>
      </w:r>
      <w:hyperlink r:id="rId41">
        <w:r w:rsidDel="00000000" w:rsidR="00000000" w:rsidRPr="00000000">
          <w:rPr>
            <w:rFonts w:ascii="Google Sans" w:cs="Google Sans" w:eastAsia="Google Sans" w:hAnsi="Google Sans"/>
            <w:color w:val="0000ee"/>
            <w:sz w:val="24"/>
            <w:szCs w:val="24"/>
            <w:u w:val="single"/>
            <w:rtl w:val="0"/>
          </w:rPr>
          <w:t xml:space="preserve">https://safeswisscloud.com/en/cloud-computing/sovereign-workplace/sovereign-file-server/</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interactive demo tools for product marketing in 2026 - Guideflow Blog, </w:t>
      </w:r>
      <w:hyperlink r:id="rId42">
        <w:r w:rsidDel="00000000" w:rsidR="00000000" w:rsidRPr="00000000">
          <w:rPr>
            <w:rFonts w:ascii="Google Sans" w:cs="Google Sans" w:eastAsia="Google Sans" w:hAnsi="Google Sans"/>
            <w:color w:val="0000ee"/>
            <w:sz w:val="24"/>
            <w:szCs w:val="24"/>
            <w:u w:val="single"/>
            <w:rtl w:val="0"/>
          </w:rPr>
          <w:t xml:space="preserve">https://www.guideflow.com/blog/best-interactive-demo-tools-for-product-marketing</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Agency Pricing in 2026: Retainers, Setup Fees, and Packages - Arsum, </w:t>
      </w:r>
      <w:hyperlink r:id="rId43">
        <w:r w:rsidDel="00000000" w:rsidR="00000000" w:rsidRPr="00000000">
          <w:rPr>
            <w:rFonts w:ascii="Google Sans" w:cs="Google Sans" w:eastAsia="Google Sans" w:hAnsi="Google Sans"/>
            <w:color w:val="0000ee"/>
            <w:sz w:val="24"/>
            <w:szCs w:val="24"/>
            <w:u w:val="single"/>
            <w:rtl w:val="0"/>
          </w:rPr>
          <w:t xml:space="preserve">https://arsum.com/blog/posts/ai-automation-agency-pricing/</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Particle Physics Mini-Workshop @ ETHZ (25 June 2026) - Indico - CERN, </w:t>
      </w:r>
      <w:hyperlink r:id="rId44">
        <w:r w:rsidDel="00000000" w:rsidR="00000000" w:rsidRPr="00000000">
          <w:rPr>
            <w:rFonts w:ascii="Google Sans" w:cs="Google Sans" w:eastAsia="Google Sans" w:hAnsi="Google Sans"/>
            <w:color w:val="0000ee"/>
            <w:sz w:val="24"/>
            <w:szCs w:val="24"/>
            <w:u w:val="single"/>
            <w:rtl w:val="0"/>
          </w:rPr>
          <w:t xml:space="preserve">https://indico.cern.ch/event/1692774/</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Agentforce Retail Interactive Demo | Salesforce IN, </w:t>
      </w:r>
      <w:hyperlink r:id="rId45">
        <w:r w:rsidDel="00000000" w:rsidR="00000000" w:rsidRPr="00000000">
          <w:rPr>
            <w:rFonts w:ascii="Google Sans" w:cs="Google Sans" w:eastAsia="Google Sans" w:hAnsi="Google Sans"/>
            <w:color w:val="0000ee"/>
            <w:sz w:val="24"/>
            <w:szCs w:val="24"/>
            <w:u w:val="single"/>
            <w:rtl w:val="0"/>
          </w:rPr>
          <w:t xml:space="preserve">https://www.salesforce.com/in/retail/resources/retail-interactive-demo/</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Financial Services | PwC Switzerland, </w:t>
      </w:r>
      <w:hyperlink r:id="rId46">
        <w:r w:rsidDel="00000000" w:rsidR="00000000" w:rsidRPr="00000000">
          <w:rPr>
            <w:rFonts w:ascii="Google Sans" w:cs="Google Sans" w:eastAsia="Google Sans" w:hAnsi="Google Sans"/>
            <w:color w:val="0000ee"/>
            <w:sz w:val="24"/>
            <w:szCs w:val="24"/>
            <w:u w:val="single"/>
            <w:rtl w:val="0"/>
          </w:rPr>
          <w:t xml:space="preserve">https://www.pwc.ch/en/insights/digital/agentic-ai-financial-services.html</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Small Language Models (SLMs): Complete Practical Guide - Omdena, </w:t>
      </w:r>
      <w:hyperlink r:id="rId47">
        <w:r w:rsidDel="00000000" w:rsidR="00000000" w:rsidRPr="00000000">
          <w:rPr>
            <w:rFonts w:ascii="Google Sans" w:cs="Google Sans" w:eastAsia="Google Sans" w:hAnsi="Google Sans"/>
            <w:color w:val="0000ee"/>
            <w:sz w:val="24"/>
            <w:szCs w:val="24"/>
            <w:u w:val="single"/>
            <w:rtl w:val="0"/>
          </w:rPr>
          <w:t xml:space="preserve">https://www.omdena.com/blog/fine-tuning-small-language-models</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multi-agent systems actually better than a single powerful AI agent? - Reddit, </w:t>
      </w:r>
      <w:hyperlink r:id="rId48">
        <w:r w:rsidDel="00000000" w:rsidR="00000000" w:rsidRPr="00000000">
          <w:rPr>
            <w:rFonts w:ascii="Google Sans" w:cs="Google Sans" w:eastAsia="Google Sans" w:hAnsi="Google Sans"/>
            <w:color w:val="0000ee"/>
            <w:sz w:val="24"/>
            <w:szCs w:val="24"/>
            <w:u w:val="single"/>
            <w:rtl w:val="0"/>
          </w:rPr>
          <w:t xml:space="preserve">https://www.reddit.com/r/AI_Agents/comments/1s42qnr/are_multiagent_systems_actually_better_than_a/</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Sovereignty - ELCA Cloud Services, </w:t>
      </w:r>
      <w:hyperlink r:id="rId49">
        <w:r w:rsidDel="00000000" w:rsidR="00000000" w:rsidRPr="00000000">
          <w:rPr>
            <w:rFonts w:ascii="Google Sans" w:cs="Google Sans" w:eastAsia="Google Sans" w:hAnsi="Google Sans"/>
            <w:color w:val="0000ee"/>
            <w:sz w:val="24"/>
            <w:szCs w:val="24"/>
            <w:u w:val="single"/>
            <w:rtl w:val="0"/>
          </w:rPr>
          <w:t xml:space="preserve">https://www.elcacloudservices.ch/swiss-sovereign-cloud/digital-sovereignty</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Is Breaking Your ROI Model. Here's How to Fix It - IDC, </w:t>
      </w:r>
      <w:hyperlink r:id="rId50">
        <w:r w:rsidDel="00000000" w:rsidR="00000000" w:rsidRPr="00000000">
          <w:rPr>
            <w:rFonts w:ascii="Google Sans" w:cs="Google Sans" w:eastAsia="Google Sans" w:hAnsi="Google Sans"/>
            <w:color w:val="0000ee"/>
            <w:sz w:val="24"/>
            <w:szCs w:val="24"/>
            <w:u w:val="single"/>
            <w:rtl w:val="0"/>
          </w:rPr>
          <w:t xml:space="preserve">https://www.idc.com/resource-center/blog/agentic-ai-is-breaking-your-roi-model-heres-how-to-fix-it/</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Agency Pricing: 6 Proven Models for 2026 - Taskip, </w:t>
      </w:r>
      <w:hyperlink r:id="rId51">
        <w:r w:rsidDel="00000000" w:rsidR="00000000" w:rsidRPr="00000000">
          <w:rPr>
            <w:rFonts w:ascii="Google Sans" w:cs="Google Sans" w:eastAsia="Google Sans" w:hAnsi="Google Sans"/>
            <w:color w:val="0000ee"/>
            <w:sz w:val="24"/>
            <w:szCs w:val="24"/>
            <w:u w:val="single"/>
            <w:rtl w:val="0"/>
          </w:rPr>
          <w:t xml:space="preserve">https://taskip.net/ai-automation-agency-pricing/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karenpfeifer/small-language-models-your-next-path-from-ai-experimentation-to-enterprise-production-52e6685e9039" TargetMode="External"/><Relationship Id="rId42" Type="http://schemas.openxmlformats.org/officeDocument/2006/relationships/hyperlink" Target="https://www.guideflow.com/blog/best-interactive-demo-tools-for-product-marketing" TargetMode="External"/><Relationship Id="rId41" Type="http://schemas.openxmlformats.org/officeDocument/2006/relationships/hyperlink" Target="https://safeswisscloud.com/en/cloud-computing/sovereign-workplace/sovereign-file-server/" TargetMode="External"/><Relationship Id="rId44" Type="http://schemas.openxmlformats.org/officeDocument/2006/relationships/hyperlink" Target="https://indico.cern.ch/event/1692774/" TargetMode="External"/><Relationship Id="rId43" Type="http://schemas.openxmlformats.org/officeDocument/2006/relationships/hyperlink" Target="https://arsum.com/blog/posts/ai-automation-agency-pricing/" TargetMode="External"/><Relationship Id="rId46" Type="http://schemas.openxmlformats.org/officeDocument/2006/relationships/hyperlink" Target="https://www.pwc.ch/en/insights/digital/agentic-ai-financial-services.html" TargetMode="External"/><Relationship Id="rId45" Type="http://schemas.openxmlformats.org/officeDocument/2006/relationships/hyperlink" Target="https://www.salesforce.com/in/retail/resources/retail-interactive-dem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reddit.com/r/AI_Agents/comments/1s42qnr/are_multiagent_systems_actually_better_than_a/" TargetMode="External"/><Relationship Id="rId47" Type="http://schemas.openxmlformats.org/officeDocument/2006/relationships/hyperlink" Target="https://www.omdena.com/blog/fine-tuning-small-language-models" TargetMode="External"/><Relationship Id="rId49" Type="http://schemas.openxmlformats.org/officeDocument/2006/relationships/hyperlink" Target="https://www.elcacloudservices.ch/swiss-sovereign-cloud/digital-sovereignty"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10.png"/><Relationship Id="rId31" Type="http://schemas.openxmlformats.org/officeDocument/2006/relationships/hyperlink" Target="https://www.salesforce.com/agentforce/demos/interactive/" TargetMode="External"/><Relationship Id="rId30" Type="http://schemas.openxmlformats.org/officeDocument/2006/relationships/hyperlink" Target="https://www.goodfirms.co/artificial-intelligence/switzerland" TargetMode="External"/><Relationship Id="rId33" Type="http://schemas.openxmlformats.org/officeDocument/2006/relationships/hyperlink" Target="https://www.zenml.io/llmops-tags/vector-search" TargetMode="External"/><Relationship Id="rId32" Type="http://schemas.openxmlformats.org/officeDocument/2006/relationships/hyperlink" Target="https://supademo.com/blog/demo-video-examples" TargetMode="External"/><Relationship Id="rId35" Type="http://schemas.openxmlformats.org/officeDocument/2006/relationships/hyperlink" Target="https://www.mindstudio.ai/blog/what-is-claude-opus-4-8-dynamic-workflows-parallel-sub-agents" TargetMode="External"/><Relationship Id="rId34" Type="http://schemas.openxmlformats.org/officeDocument/2006/relationships/hyperlink" Target="https://www.jadasquad.com/blog/ai-automation-agencies" TargetMode="External"/><Relationship Id="rId37" Type="http://schemas.openxmlformats.org/officeDocument/2006/relationships/hyperlink" Target="https://resolve.ai/blog/role-of-multi-agent-systems-AI-native-engineering" TargetMode="External"/><Relationship Id="rId36" Type="http://schemas.openxmlformats.org/officeDocument/2006/relationships/hyperlink" Target="https://medium.com/@Micheal-Lanham/one-ai-brain-or-a-team-a-practical-guide-to-multi-agent-system-design-5243b6fca9ff" TargetMode="External"/><Relationship Id="rId39" Type="http://schemas.openxmlformats.org/officeDocument/2006/relationships/hyperlink" Target="https://www.gdsonline.tech/small-language-model/" TargetMode="External"/><Relationship Id="rId38" Type="http://schemas.openxmlformats.org/officeDocument/2006/relationships/hyperlink" Target="https://kanerika.com/blogs/small-language-models/" TargetMode="External"/><Relationship Id="rId20" Type="http://schemas.openxmlformats.org/officeDocument/2006/relationships/hyperlink" Target="https://www.skan.ai/blogs/agentic-ai-enterprise-process-intelligence-roi" TargetMode="External"/><Relationship Id="rId22" Type="http://schemas.openxmlformats.org/officeDocument/2006/relationships/hyperlink" Target="https://www.1swiss1.com/en/enterprise-cloud" TargetMode="External"/><Relationship Id="rId21" Type="http://schemas.openxmlformats.org/officeDocument/2006/relationships/hyperlink" Target="https://www.hpe.com/in/en/resource-library.video.general-session-by-fidelma-russo-the-path-to-an-agentic-enterprise.Discover2026-GS1864.html" TargetMode="External"/><Relationship Id="rId24" Type="http://schemas.openxmlformats.org/officeDocument/2006/relationships/hyperlink" Target="https://atos.net/en/lp/digital-sovereignty-for-switzerland" TargetMode="External"/><Relationship Id="rId23" Type="http://schemas.openxmlformats.org/officeDocument/2006/relationships/hyperlink" Target="https://www.kiteworks.com/regulatory-compliance/swiss-banks-banking-secrecy-crs-compliance/" TargetMode="External"/><Relationship Id="rId26" Type="http://schemas.openxmlformats.org/officeDocument/2006/relationships/hyperlink" Target="https://www.storylane.io/feeds/blog/types-demos" TargetMode="External"/><Relationship Id="rId25" Type="http://schemas.openxmlformats.org/officeDocument/2006/relationships/hyperlink" Target="https://www.storylane.io/blog/micro-demos" TargetMode="External"/><Relationship Id="rId28" Type="http://schemas.openxmlformats.org/officeDocument/2006/relationships/hyperlink" Target="https://taskip.net/ai-automation-agency-cost/" TargetMode="External"/><Relationship Id="rId27" Type="http://schemas.openxmlformats.org/officeDocument/2006/relationships/hyperlink" Target="https://www.nice.com/agentic-ai/roi-of-agentic-ai-in-customer-experience" TargetMode="External"/><Relationship Id="rId29" Type="http://schemas.openxmlformats.org/officeDocument/2006/relationships/hyperlink" Target="https://www.blueprism.com/resources/blog/ai-agent-roi/" TargetMode="External"/><Relationship Id="rId51" Type="http://schemas.openxmlformats.org/officeDocument/2006/relationships/hyperlink" Target="https://taskip.net/ai-automation-agency-pricing/" TargetMode="External"/><Relationship Id="rId50" Type="http://schemas.openxmlformats.org/officeDocument/2006/relationships/hyperlink" Target="https://www.idc.com/resource-center/blog/agentic-ai-is-breaking-your-roi-model-heres-how-to-fix-it/" TargetMode="External"/><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hyperlink" Target="https://acxpa.com.au/glossary/agentic-ai/" TargetMode="External"/><Relationship Id="rId16" Type="http://schemas.openxmlformats.org/officeDocument/2006/relationships/image" Target="media/image4.png"/><Relationship Id="rId19" Type="http://schemas.openxmlformats.org/officeDocument/2006/relationships/hyperlink" Target="https://www.informatica.com/resources/articles/enterprise-agentic-automation.html" TargetMode="External"/><Relationship Id="rId18" Type="http://schemas.openxmlformats.org/officeDocument/2006/relationships/hyperlink" Target="https://erp.today/salesforce-pushes-agentic-enterprise-vision-with-telecom-ai-agents-and-new-ai-work-met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