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4D569" w14:textId="77777777" w:rsidR="00D70531" w:rsidRDefault="00672C9C">
      <w:pPr>
        <w:spacing w:after="120" w:line="240" w:lineRule="auto"/>
        <w:jc w:val="center"/>
      </w:pPr>
      <w:r>
        <w:rPr>
          <w:rFonts w:ascii="Times New Roman" w:eastAsia="Times New Roman" w:hAnsi="Times New Roman"/>
          <w:b/>
          <w:sz w:val="28"/>
        </w:rPr>
        <w:t>Forecasting German Electricity Demand: A Comparative Evaluation of Benchmark, SARIMAX, Feature-Based and LSTM Models</w:t>
      </w:r>
    </w:p>
    <w:p w14:paraId="7835E7C7" w14:textId="0510C1B5" w:rsidR="00D70531" w:rsidRDefault="004B56E1" w:rsidP="004B56E1">
      <w:pPr>
        <w:tabs>
          <w:tab w:val="left" w:pos="6804"/>
        </w:tabs>
        <w:spacing w:after="40" w:line="240" w:lineRule="auto"/>
        <w:rPr>
          <w:rFonts w:ascii="Times New Roman" w:eastAsia="Times New Roman" w:hAnsi="Times New Roman"/>
          <w:iCs/>
        </w:rPr>
      </w:pPr>
      <w:r w:rsidRPr="003631DB">
        <w:rPr>
          <w:rFonts w:ascii="Times New Roman" w:eastAsia="Times New Roman" w:hAnsi="Times New Roman"/>
          <w:b/>
          <w:bCs/>
          <w:iCs/>
        </w:rPr>
        <w:t>Name:</w:t>
      </w:r>
      <w:r>
        <w:rPr>
          <w:rFonts w:ascii="Times New Roman" w:eastAsia="Times New Roman" w:hAnsi="Times New Roman"/>
          <w:i/>
        </w:rPr>
        <w:t xml:space="preserve"> </w:t>
      </w:r>
      <w:r w:rsidR="003631DB">
        <w:rPr>
          <w:rFonts w:ascii="Times New Roman" w:eastAsia="Times New Roman" w:hAnsi="Times New Roman"/>
          <w:iCs/>
        </w:rPr>
        <w:t xml:space="preserve">Sai Subramanya Teja </w:t>
      </w:r>
      <w:proofErr w:type="spellStart"/>
      <w:r w:rsidR="003631DB">
        <w:rPr>
          <w:rFonts w:ascii="Times New Roman" w:eastAsia="Times New Roman" w:hAnsi="Times New Roman"/>
          <w:iCs/>
        </w:rPr>
        <w:t>Sarvade</w:t>
      </w:r>
      <w:proofErr w:type="spellEnd"/>
      <w:r>
        <w:rPr>
          <w:rFonts w:ascii="Times New Roman" w:eastAsia="Times New Roman" w:hAnsi="Times New Roman"/>
          <w:i/>
        </w:rPr>
        <w:tab/>
      </w:r>
      <w:r w:rsidRPr="003631DB">
        <w:rPr>
          <w:rFonts w:ascii="Times New Roman" w:eastAsia="Times New Roman" w:hAnsi="Times New Roman"/>
          <w:b/>
          <w:bCs/>
          <w:iCs/>
        </w:rPr>
        <w:t>Student ID:</w:t>
      </w:r>
      <w:r w:rsidR="003631DB">
        <w:rPr>
          <w:rFonts w:ascii="Times New Roman" w:eastAsia="Times New Roman" w:hAnsi="Times New Roman"/>
          <w:b/>
          <w:bCs/>
          <w:iCs/>
        </w:rPr>
        <w:t xml:space="preserve"> </w:t>
      </w:r>
      <w:r w:rsidR="003631DB">
        <w:rPr>
          <w:rFonts w:ascii="Times New Roman" w:eastAsia="Times New Roman" w:hAnsi="Times New Roman"/>
          <w:iCs/>
        </w:rPr>
        <w:t>24090920</w:t>
      </w:r>
    </w:p>
    <w:p w14:paraId="3BABC047" w14:textId="5FE425AD" w:rsidR="003631DB" w:rsidRPr="003631DB" w:rsidRDefault="003631DB" w:rsidP="004B56E1">
      <w:pPr>
        <w:tabs>
          <w:tab w:val="left" w:pos="6804"/>
        </w:tabs>
        <w:spacing w:after="40" w:line="240" w:lineRule="auto"/>
      </w:pPr>
      <w:proofErr w:type="spellStart"/>
      <w:r>
        <w:rPr>
          <w:rFonts w:ascii="Times New Roman" w:eastAsia="Times New Roman" w:hAnsi="Times New Roman"/>
          <w:b/>
          <w:bCs/>
          <w:iCs/>
        </w:rPr>
        <w:t>Github</w:t>
      </w:r>
      <w:proofErr w:type="spellEnd"/>
      <w:r>
        <w:rPr>
          <w:rFonts w:ascii="Times New Roman" w:eastAsia="Times New Roman" w:hAnsi="Times New Roman"/>
          <w:b/>
          <w:bCs/>
          <w:iCs/>
        </w:rPr>
        <w:t xml:space="preserve"> </w:t>
      </w:r>
      <w:proofErr w:type="gramStart"/>
      <w:r>
        <w:rPr>
          <w:rFonts w:ascii="Times New Roman" w:eastAsia="Times New Roman" w:hAnsi="Times New Roman"/>
          <w:b/>
          <w:bCs/>
          <w:iCs/>
        </w:rPr>
        <w:t>link :</w:t>
      </w:r>
      <w:proofErr w:type="gramEnd"/>
      <w:r>
        <w:rPr>
          <w:rFonts w:ascii="Times New Roman" w:eastAsia="Times New Roman" w:hAnsi="Times New Roman"/>
          <w:b/>
          <w:bCs/>
          <w:iCs/>
        </w:rPr>
        <w:t xml:space="preserve"> </w:t>
      </w:r>
      <w:r w:rsidRPr="003631DB">
        <w:rPr>
          <w:rFonts w:ascii="Times New Roman" w:eastAsia="Times New Roman" w:hAnsi="Times New Roman"/>
          <w:iCs/>
        </w:rPr>
        <w:t>https://github.com/Subbu-coder13/TIME-SEIRES-MODEL-CASE-STUDY</w:t>
      </w:r>
    </w:p>
    <w:p w14:paraId="4709C01E" w14:textId="77777777" w:rsidR="00D70531" w:rsidRDefault="00672C9C">
      <w:pPr>
        <w:spacing w:before="240" w:after="120"/>
      </w:pPr>
      <w:r>
        <w:rPr>
          <w:rFonts w:ascii="Times New Roman" w:eastAsia="Times New Roman" w:hAnsi="Times New Roman"/>
          <w:b/>
          <w:sz w:val="28"/>
        </w:rPr>
        <w:t>1. Introduction</w:t>
      </w:r>
    </w:p>
    <w:p w14:paraId="5C1C1E6E" w14:textId="77777777" w:rsidR="00D70531" w:rsidRDefault="00672C9C">
      <w:pPr>
        <w:spacing w:after="160" w:line="240" w:lineRule="auto"/>
      </w:pPr>
      <w:r>
        <w:rPr>
          <w:rFonts w:ascii="Times New Roman" w:eastAsia="Times New Roman" w:hAnsi="Times New Roman"/>
        </w:rPr>
        <w:t>Short- and medium-term electricity load forecasting remains central to power-system operations. Accurate demand projections support unit commitment, reserve planning and the integration of variable renewable generation. This case study concentrates on Germany (country identifier DE in the Open Power System Data archive) and addresses a practical research question: on a genuine multi-year hold-out period, do standard statistical and machine-learning models improve on a strong seasonal benchmark?</w:t>
      </w:r>
    </w:p>
    <w:p w14:paraId="3DC85281" w14:textId="77777777" w:rsidR="00D70531" w:rsidRDefault="00672C9C">
      <w:pPr>
        <w:spacing w:after="160" w:line="240" w:lineRule="auto"/>
      </w:pPr>
      <w:r>
        <w:rPr>
          <w:rFonts w:ascii="Times New Roman" w:eastAsia="Times New Roman" w:hAnsi="Times New Roman"/>
        </w:rPr>
        <w:t>The workflow follows the assignment structure. Weekly average demand is explored and tested for non-stationarity. Four classical benchmarks (mean, naïve, seasonal naïve and drift) establish a two-year baseline. A seasonal ARIMA model is selected by AIC over the full (p, d, q) grid required by the brief. Temperature and holiday covariates are then added in a SARIMAX specification. The same weekly series is modelled with a feature-based gradient boosting regressor under a leakage-aware recursive forecast. Fin</w:t>
      </w:r>
      <w:r>
        <w:rPr>
          <w:rFonts w:ascii="Times New Roman" w:eastAsia="Times New Roman" w:hAnsi="Times New Roman"/>
        </w:rPr>
        <w:t>ally, an LSTM is trained on hourly load and compared with an hourly seasonal naïve forecast. Evaluation uses MAE, RMSE, MASE and Bias, with explicit discussion of conditional versus operational temperature forecasts.</w:t>
      </w:r>
    </w:p>
    <w:p w14:paraId="4911F1F5" w14:textId="77777777" w:rsidR="00D70531" w:rsidRDefault="00672C9C">
      <w:pPr>
        <w:spacing w:before="240" w:after="120"/>
      </w:pPr>
      <w:r>
        <w:rPr>
          <w:rFonts w:ascii="Times New Roman" w:eastAsia="Times New Roman" w:hAnsi="Times New Roman"/>
          <w:b/>
          <w:sz w:val="28"/>
        </w:rPr>
        <w:t>2. Data and preprocessing</w:t>
      </w:r>
    </w:p>
    <w:p w14:paraId="507C2EB3" w14:textId="77777777" w:rsidR="00D70531" w:rsidRDefault="00672C9C">
      <w:pPr>
        <w:spacing w:after="160" w:line="240" w:lineRule="auto"/>
      </w:pPr>
      <w:r>
        <w:rPr>
          <w:rFonts w:ascii="Times New Roman" w:eastAsia="Times New Roman" w:hAnsi="Times New Roman"/>
        </w:rPr>
        <w:t>Hourly German electricity load was obtained from the Open Power System Data 60-minute single-index file, using the ENTSO-E transparency series DE_load_actual_entsoe_transparency. Observations from 1 January 2015 onwards were retained, giving continuous coverage through early October 2020. After removing missing hourly values, approximately 50,400 hourly observations remained.</w:t>
      </w:r>
    </w:p>
    <w:p w14:paraId="47187C0B" w14:textId="77777777" w:rsidR="00D70531" w:rsidRDefault="00672C9C">
      <w:pPr>
        <w:spacing w:after="160" w:line="240" w:lineRule="auto"/>
      </w:pPr>
      <w:r>
        <w:rPr>
          <w:rFonts w:ascii="Times New Roman" w:eastAsia="Times New Roman" w:hAnsi="Times New Roman"/>
        </w:rPr>
        <w:t>For weekly modelling the series was aggregated to week-ending means and converted from MW to GW. The resulting weekly target comprises 301 observations (4 January 2015 to 4 October 2020). A parallel daily mean series was retained for exploratory plots. Weekly gaps were filled by time interpolation where needed so that a regular weekly frequency could be used with seasonal models.</w:t>
      </w:r>
    </w:p>
    <w:p w14:paraId="115B84DF" w14:textId="77777777" w:rsidR="00D70531" w:rsidRDefault="00672C9C">
      <w:pPr>
        <w:spacing w:after="160" w:line="240" w:lineRule="auto"/>
      </w:pPr>
      <w:r>
        <w:rPr>
          <w:rFonts w:ascii="Times New Roman" w:eastAsia="Times New Roman" w:hAnsi="Times New Roman"/>
        </w:rPr>
        <w:t>Berlin was used as a representative climate location. Daily mean 2 m temperature was retrieved from the Open-Meteo archive API and aggregated to weekly means, minima and maxima, together with heating- and cooling-degree sums (bases 15.5°C and 22°C). German public holidays were summarised as weekly holiday counts and a binary holiday indicator. The merged modelling table therefore contains load, temperature features and holiday covariates at weekly frequency.</w:t>
      </w:r>
    </w:p>
    <w:p w14:paraId="7F050E70" w14:textId="77777777" w:rsidR="00D70531" w:rsidRDefault="00672C9C">
      <w:pPr>
        <w:spacing w:before="120" w:after="40"/>
        <w:jc w:val="center"/>
      </w:pPr>
      <w:r>
        <w:rPr>
          <w:noProof/>
        </w:rPr>
        <w:drawing>
          <wp:inline distT="0" distB="0" distL="0" distR="0" wp14:anchorId="29F5C1F0" wp14:editId="7DF0427C">
            <wp:extent cx="4442460" cy="312224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imeseries_overview.png"/>
                    <pic:cNvPicPr/>
                  </pic:nvPicPr>
                  <pic:blipFill>
                    <a:blip r:embed="rId6"/>
                    <a:stretch>
                      <a:fillRect/>
                    </a:stretch>
                  </pic:blipFill>
                  <pic:spPr>
                    <a:xfrm>
                      <a:off x="0" y="0"/>
                      <a:ext cx="4449113" cy="3126920"/>
                    </a:xfrm>
                    <a:prstGeom prst="rect">
                      <a:avLst/>
                    </a:prstGeom>
                  </pic:spPr>
                </pic:pic>
              </a:graphicData>
            </a:graphic>
          </wp:inline>
        </w:drawing>
      </w:r>
    </w:p>
    <w:p w14:paraId="0007DE12" w14:textId="77777777" w:rsidR="00D70531" w:rsidRDefault="00672C9C">
      <w:pPr>
        <w:jc w:val="center"/>
      </w:pPr>
      <w:r>
        <w:rPr>
          <w:rFonts w:ascii="Times New Roman" w:eastAsia="Times New Roman" w:hAnsi="Times New Roman"/>
          <w:i/>
          <w:sz w:val="20"/>
        </w:rPr>
        <w:lastRenderedPageBreak/>
        <w:t>Figure 1. Hourly, daily and weekly German electricity load (2015–2020).</w:t>
      </w:r>
    </w:p>
    <w:p w14:paraId="48DF03EC" w14:textId="77777777" w:rsidR="00D70531" w:rsidRDefault="00672C9C">
      <w:pPr>
        <w:spacing w:after="160" w:line="240" w:lineRule="auto"/>
      </w:pPr>
      <w:r>
        <w:rPr>
          <w:rFonts w:ascii="Times New Roman" w:eastAsia="Times New Roman" w:hAnsi="Times New Roman"/>
        </w:rPr>
        <w:t>Figure 1 shows winter peaks, summer troughs and a slowly evolving level. Weekly averaging smooths diurnal and weekday effects while retaining the dominant annual cycle used in Parts 2–5.</w:t>
      </w:r>
    </w:p>
    <w:p w14:paraId="2EA65518" w14:textId="77777777" w:rsidR="00D70531" w:rsidRDefault="00672C9C">
      <w:pPr>
        <w:spacing w:before="240" w:after="120"/>
      </w:pPr>
      <w:r>
        <w:rPr>
          <w:rFonts w:ascii="Times New Roman" w:eastAsia="Times New Roman" w:hAnsi="Times New Roman"/>
          <w:b/>
          <w:sz w:val="28"/>
        </w:rPr>
        <w:t>3. Exploratory analysis and non-stationarity</w:t>
      </w:r>
    </w:p>
    <w:p w14:paraId="3E1B5176" w14:textId="77777777" w:rsidR="00D70531" w:rsidRDefault="00672C9C">
      <w:pPr>
        <w:spacing w:before="160" w:after="120"/>
      </w:pPr>
      <w:r>
        <w:rPr>
          <w:rFonts w:ascii="Times New Roman" w:eastAsia="Times New Roman" w:hAnsi="Times New Roman"/>
          <w:b/>
          <w:sz w:val="24"/>
        </w:rPr>
        <w:t>3.1 Seasonal structure and time-series components</w:t>
      </w:r>
    </w:p>
    <w:p w14:paraId="3910EA3E" w14:textId="77777777" w:rsidR="00D70531" w:rsidRDefault="00672C9C">
      <w:pPr>
        <w:spacing w:after="160" w:line="240" w:lineRule="auto"/>
      </w:pPr>
      <w:r>
        <w:rPr>
          <w:rFonts w:ascii="Times New Roman" w:eastAsia="Times New Roman" w:hAnsi="Times New Roman"/>
        </w:rPr>
        <w:t>STL decomposition of weekly load with period 52 isolates a clear annual seasonal component superimposed on a slowly changing trend (Figure 2). Autocorrelation functions reinforce this reading: the ACF of the weekly series remains elevated at seasonal lags, and ACF/PACF plots of first differences continue to show structure near lag 52 (Figure 3). Hourly data additionally embed diurnal and weekly cycles, which later motivates LSTM sequence lengths of 24 or 168 hours.</w:t>
      </w:r>
    </w:p>
    <w:p w14:paraId="58F72636" w14:textId="77777777" w:rsidR="00D70531" w:rsidRDefault="00672C9C">
      <w:pPr>
        <w:spacing w:before="120" w:after="40"/>
        <w:jc w:val="center"/>
      </w:pPr>
      <w:r>
        <w:rPr>
          <w:noProof/>
        </w:rPr>
        <w:drawing>
          <wp:inline distT="0" distB="0" distL="0" distR="0" wp14:anchorId="1A445F99" wp14:editId="4C1434FE">
            <wp:extent cx="5029200" cy="37584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l_decomposition.png"/>
                    <pic:cNvPicPr/>
                  </pic:nvPicPr>
                  <pic:blipFill>
                    <a:blip r:embed="rId7"/>
                    <a:stretch>
                      <a:fillRect/>
                    </a:stretch>
                  </pic:blipFill>
                  <pic:spPr>
                    <a:xfrm>
                      <a:off x="0" y="0"/>
                      <a:ext cx="5029200" cy="3758426"/>
                    </a:xfrm>
                    <a:prstGeom prst="rect">
                      <a:avLst/>
                    </a:prstGeom>
                  </pic:spPr>
                </pic:pic>
              </a:graphicData>
            </a:graphic>
          </wp:inline>
        </w:drawing>
      </w:r>
    </w:p>
    <w:p w14:paraId="1C81CFB8" w14:textId="77777777" w:rsidR="00D70531" w:rsidRDefault="00672C9C">
      <w:pPr>
        <w:jc w:val="center"/>
      </w:pPr>
      <w:r>
        <w:rPr>
          <w:rFonts w:ascii="Times New Roman" w:eastAsia="Times New Roman" w:hAnsi="Times New Roman"/>
          <w:i/>
          <w:sz w:val="20"/>
        </w:rPr>
        <w:t>Figure 2. STL decomposition of weekly average load (period = 52).</w:t>
      </w:r>
    </w:p>
    <w:p w14:paraId="3B0A811D" w14:textId="77777777" w:rsidR="00D70531" w:rsidRDefault="00672C9C">
      <w:pPr>
        <w:spacing w:before="120" w:after="40"/>
        <w:jc w:val="center"/>
      </w:pPr>
      <w:r>
        <w:rPr>
          <w:noProof/>
        </w:rPr>
        <w:drawing>
          <wp:inline distT="0" distB="0" distL="0" distR="0" wp14:anchorId="3E41C7E5" wp14:editId="7C9E6AF0">
            <wp:extent cx="5212080" cy="29474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f_pacf.png"/>
                    <pic:cNvPicPr/>
                  </pic:nvPicPr>
                  <pic:blipFill>
                    <a:blip r:embed="rId8"/>
                    <a:stretch>
                      <a:fillRect/>
                    </a:stretch>
                  </pic:blipFill>
                  <pic:spPr>
                    <a:xfrm>
                      <a:off x="0" y="0"/>
                      <a:ext cx="5212080" cy="2947486"/>
                    </a:xfrm>
                    <a:prstGeom prst="rect">
                      <a:avLst/>
                    </a:prstGeom>
                  </pic:spPr>
                </pic:pic>
              </a:graphicData>
            </a:graphic>
          </wp:inline>
        </w:drawing>
      </w:r>
    </w:p>
    <w:p w14:paraId="1D080303" w14:textId="77777777" w:rsidR="00D70531" w:rsidRDefault="00672C9C">
      <w:pPr>
        <w:jc w:val="center"/>
      </w:pPr>
      <w:r>
        <w:rPr>
          <w:rFonts w:ascii="Times New Roman" w:eastAsia="Times New Roman" w:hAnsi="Times New Roman"/>
          <w:i/>
          <w:sz w:val="20"/>
        </w:rPr>
        <w:lastRenderedPageBreak/>
        <w:t>Figure 3. ACF and PACF of weekly load (level and first difference).</w:t>
      </w:r>
    </w:p>
    <w:p w14:paraId="57685CE2" w14:textId="77777777" w:rsidR="00D70531" w:rsidRDefault="00672C9C">
      <w:pPr>
        <w:spacing w:after="160" w:line="240" w:lineRule="auto"/>
      </w:pPr>
      <w:r>
        <w:rPr>
          <w:rFonts w:ascii="Times New Roman" w:eastAsia="Times New Roman" w:hAnsi="Times New Roman"/>
        </w:rPr>
        <w:t>Conclusion for the brief: the weekly series has a strong seasonal component with period approximately one year (52 weeks), together with trend and irregular residual variation.</w:t>
      </w:r>
    </w:p>
    <w:p w14:paraId="59C03F4A" w14:textId="77777777" w:rsidR="00D70531" w:rsidRDefault="00672C9C">
      <w:pPr>
        <w:spacing w:before="160" w:after="120"/>
      </w:pPr>
      <w:r>
        <w:rPr>
          <w:rFonts w:ascii="Times New Roman" w:eastAsia="Times New Roman" w:hAnsi="Times New Roman"/>
          <w:b/>
          <w:sz w:val="24"/>
        </w:rPr>
        <w:t>3.2 Stationarity tests</w:t>
      </w:r>
    </w:p>
    <w:p w14:paraId="3F48D705" w14:textId="77777777" w:rsidR="00D70531" w:rsidRDefault="00672C9C">
      <w:pPr>
        <w:spacing w:after="160" w:line="240" w:lineRule="auto"/>
      </w:pPr>
      <w:r>
        <w:rPr>
          <w:rFonts w:ascii="Times New Roman" w:eastAsia="Times New Roman" w:hAnsi="Times New Roman"/>
        </w:rPr>
        <w:t>Augmented Dickey–Fuller (ADF) and KPSS tests were applied to the weekly level, first difference and seasonally differenced series:</w:t>
      </w:r>
    </w:p>
    <w:tbl>
      <w:tblPr>
        <w:tblStyle w:val="TableGrid"/>
        <w:tblW w:w="0" w:type="auto"/>
        <w:tblLook w:val="04A0" w:firstRow="1" w:lastRow="0" w:firstColumn="1" w:lastColumn="0" w:noHBand="0" w:noVBand="1"/>
      </w:tblPr>
      <w:tblGrid>
        <w:gridCol w:w="1993"/>
        <w:gridCol w:w="1992"/>
        <w:gridCol w:w="1992"/>
        <w:gridCol w:w="1992"/>
        <w:gridCol w:w="1993"/>
      </w:tblGrid>
      <w:tr w:rsidR="00D70531" w14:paraId="18A40C1C" w14:textId="77777777">
        <w:tc>
          <w:tcPr>
            <w:tcW w:w="1994" w:type="dxa"/>
          </w:tcPr>
          <w:p w14:paraId="686DAC30" w14:textId="77777777" w:rsidR="00D70531" w:rsidRDefault="00672C9C">
            <w:r>
              <w:rPr>
                <w:rFonts w:ascii="Times New Roman" w:eastAsia="Times New Roman" w:hAnsi="Times New Roman"/>
                <w:b/>
                <w:sz w:val="18"/>
              </w:rPr>
              <w:t>Series</w:t>
            </w:r>
          </w:p>
        </w:tc>
        <w:tc>
          <w:tcPr>
            <w:tcW w:w="1994" w:type="dxa"/>
          </w:tcPr>
          <w:p w14:paraId="52739151" w14:textId="77777777" w:rsidR="00D70531" w:rsidRDefault="00672C9C">
            <w:r>
              <w:rPr>
                <w:rFonts w:ascii="Times New Roman" w:eastAsia="Times New Roman" w:hAnsi="Times New Roman"/>
                <w:b/>
                <w:sz w:val="18"/>
              </w:rPr>
              <w:t>Test</w:t>
            </w:r>
          </w:p>
        </w:tc>
        <w:tc>
          <w:tcPr>
            <w:tcW w:w="1994" w:type="dxa"/>
          </w:tcPr>
          <w:p w14:paraId="369AAF23" w14:textId="77777777" w:rsidR="00D70531" w:rsidRDefault="00672C9C">
            <w:r>
              <w:rPr>
                <w:rFonts w:ascii="Times New Roman" w:eastAsia="Times New Roman" w:hAnsi="Times New Roman"/>
                <w:b/>
                <w:sz w:val="18"/>
              </w:rPr>
              <w:t>Statistic</w:t>
            </w:r>
          </w:p>
        </w:tc>
        <w:tc>
          <w:tcPr>
            <w:tcW w:w="1994" w:type="dxa"/>
          </w:tcPr>
          <w:p w14:paraId="673D9BF7" w14:textId="77777777" w:rsidR="00D70531" w:rsidRDefault="00672C9C">
            <w:r>
              <w:rPr>
                <w:rFonts w:ascii="Times New Roman" w:eastAsia="Times New Roman" w:hAnsi="Times New Roman"/>
                <w:b/>
                <w:sz w:val="18"/>
              </w:rPr>
              <w:t>p-value</w:t>
            </w:r>
          </w:p>
        </w:tc>
        <w:tc>
          <w:tcPr>
            <w:tcW w:w="1994" w:type="dxa"/>
          </w:tcPr>
          <w:p w14:paraId="41955328" w14:textId="77777777" w:rsidR="00D70531" w:rsidRDefault="00672C9C">
            <w:r>
              <w:rPr>
                <w:rFonts w:ascii="Times New Roman" w:eastAsia="Times New Roman" w:hAnsi="Times New Roman"/>
                <w:b/>
                <w:sz w:val="18"/>
              </w:rPr>
              <w:t>Stationary @ 5%?</w:t>
            </w:r>
          </w:p>
        </w:tc>
      </w:tr>
      <w:tr w:rsidR="00D70531" w14:paraId="6F76C2C7" w14:textId="77777777">
        <w:tc>
          <w:tcPr>
            <w:tcW w:w="1994" w:type="dxa"/>
          </w:tcPr>
          <w:p w14:paraId="68715B32" w14:textId="77777777" w:rsidR="00D70531" w:rsidRDefault="00672C9C">
            <w:r>
              <w:rPr>
                <w:rFonts w:ascii="Times New Roman" w:eastAsia="Times New Roman" w:hAnsi="Times New Roman"/>
                <w:sz w:val="18"/>
              </w:rPr>
              <w:t>Weekly level</w:t>
            </w:r>
          </w:p>
        </w:tc>
        <w:tc>
          <w:tcPr>
            <w:tcW w:w="1994" w:type="dxa"/>
          </w:tcPr>
          <w:p w14:paraId="5FC482E0" w14:textId="77777777" w:rsidR="00D70531" w:rsidRDefault="00672C9C">
            <w:r>
              <w:rPr>
                <w:rFonts w:ascii="Times New Roman" w:eastAsia="Times New Roman" w:hAnsi="Times New Roman"/>
                <w:sz w:val="18"/>
              </w:rPr>
              <w:t>ADF</w:t>
            </w:r>
          </w:p>
        </w:tc>
        <w:tc>
          <w:tcPr>
            <w:tcW w:w="1994" w:type="dxa"/>
          </w:tcPr>
          <w:p w14:paraId="10DDB2EE" w14:textId="77777777" w:rsidR="00D70531" w:rsidRDefault="00672C9C">
            <w:r>
              <w:rPr>
                <w:rFonts w:ascii="Times New Roman" w:eastAsia="Times New Roman" w:hAnsi="Times New Roman"/>
                <w:sz w:val="18"/>
              </w:rPr>
              <w:t>−4.05</w:t>
            </w:r>
          </w:p>
        </w:tc>
        <w:tc>
          <w:tcPr>
            <w:tcW w:w="1994" w:type="dxa"/>
          </w:tcPr>
          <w:p w14:paraId="242608FD" w14:textId="77777777" w:rsidR="00D70531" w:rsidRDefault="00672C9C">
            <w:r>
              <w:rPr>
                <w:rFonts w:ascii="Times New Roman" w:eastAsia="Times New Roman" w:hAnsi="Times New Roman"/>
                <w:sz w:val="18"/>
              </w:rPr>
              <w:t>0.0012</w:t>
            </w:r>
          </w:p>
        </w:tc>
        <w:tc>
          <w:tcPr>
            <w:tcW w:w="1994" w:type="dxa"/>
          </w:tcPr>
          <w:p w14:paraId="6233920C" w14:textId="77777777" w:rsidR="00D70531" w:rsidRDefault="00672C9C">
            <w:r>
              <w:rPr>
                <w:rFonts w:ascii="Times New Roman" w:eastAsia="Times New Roman" w:hAnsi="Times New Roman"/>
                <w:sz w:val="18"/>
              </w:rPr>
              <w:t>Yes (reject unit root)</w:t>
            </w:r>
          </w:p>
        </w:tc>
      </w:tr>
      <w:tr w:rsidR="00D70531" w14:paraId="756E8244" w14:textId="77777777">
        <w:tc>
          <w:tcPr>
            <w:tcW w:w="1994" w:type="dxa"/>
          </w:tcPr>
          <w:p w14:paraId="3A1B4621" w14:textId="77777777" w:rsidR="00D70531" w:rsidRDefault="00672C9C">
            <w:r>
              <w:rPr>
                <w:rFonts w:ascii="Times New Roman" w:eastAsia="Times New Roman" w:hAnsi="Times New Roman"/>
                <w:sz w:val="18"/>
              </w:rPr>
              <w:t>Weekly level</w:t>
            </w:r>
          </w:p>
        </w:tc>
        <w:tc>
          <w:tcPr>
            <w:tcW w:w="1994" w:type="dxa"/>
          </w:tcPr>
          <w:p w14:paraId="435E20F4" w14:textId="77777777" w:rsidR="00D70531" w:rsidRDefault="00672C9C">
            <w:r>
              <w:rPr>
                <w:rFonts w:ascii="Times New Roman" w:eastAsia="Times New Roman" w:hAnsi="Times New Roman"/>
                <w:sz w:val="18"/>
              </w:rPr>
              <w:t>KPSS</w:t>
            </w:r>
          </w:p>
        </w:tc>
        <w:tc>
          <w:tcPr>
            <w:tcW w:w="1994" w:type="dxa"/>
          </w:tcPr>
          <w:p w14:paraId="0D22F6A1" w14:textId="77777777" w:rsidR="00D70531" w:rsidRDefault="00672C9C">
            <w:r>
              <w:rPr>
                <w:rFonts w:ascii="Times New Roman" w:eastAsia="Times New Roman" w:hAnsi="Times New Roman"/>
                <w:sz w:val="18"/>
              </w:rPr>
              <w:t>0.16</w:t>
            </w:r>
          </w:p>
        </w:tc>
        <w:tc>
          <w:tcPr>
            <w:tcW w:w="1994" w:type="dxa"/>
          </w:tcPr>
          <w:p w14:paraId="115C24A1" w14:textId="77777777" w:rsidR="00D70531" w:rsidRDefault="00672C9C">
            <w:r>
              <w:rPr>
                <w:rFonts w:ascii="Times New Roman" w:eastAsia="Times New Roman" w:hAnsi="Times New Roman"/>
                <w:sz w:val="18"/>
              </w:rPr>
              <w:t>0.10</w:t>
            </w:r>
          </w:p>
        </w:tc>
        <w:tc>
          <w:tcPr>
            <w:tcW w:w="1994" w:type="dxa"/>
          </w:tcPr>
          <w:p w14:paraId="16F5F96D" w14:textId="77777777" w:rsidR="00D70531" w:rsidRDefault="00672C9C">
            <w:r>
              <w:rPr>
                <w:rFonts w:ascii="Times New Roman" w:eastAsia="Times New Roman" w:hAnsi="Times New Roman"/>
                <w:sz w:val="18"/>
              </w:rPr>
              <w:t>Yes (fail to reject)</w:t>
            </w:r>
          </w:p>
        </w:tc>
      </w:tr>
      <w:tr w:rsidR="00D70531" w14:paraId="07BA5F5D" w14:textId="77777777">
        <w:tc>
          <w:tcPr>
            <w:tcW w:w="1994" w:type="dxa"/>
          </w:tcPr>
          <w:p w14:paraId="2B886955" w14:textId="77777777" w:rsidR="00D70531" w:rsidRDefault="00672C9C">
            <w:r>
              <w:rPr>
                <w:rFonts w:ascii="Times New Roman" w:eastAsia="Times New Roman" w:hAnsi="Times New Roman"/>
                <w:sz w:val="18"/>
              </w:rPr>
              <w:t>First difference</w:t>
            </w:r>
          </w:p>
        </w:tc>
        <w:tc>
          <w:tcPr>
            <w:tcW w:w="1994" w:type="dxa"/>
          </w:tcPr>
          <w:p w14:paraId="2B3DBAD2" w14:textId="77777777" w:rsidR="00D70531" w:rsidRDefault="00672C9C">
            <w:r>
              <w:rPr>
                <w:rFonts w:ascii="Times New Roman" w:eastAsia="Times New Roman" w:hAnsi="Times New Roman"/>
                <w:sz w:val="18"/>
              </w:rPr>
              <w:t>ADF</w:t>
            </w:r>
          </w:p>
        </w:tc>
        <w:tc>
          <w:tcPr>
            <w:tcW w:w="1994" w:type="dxa"/>
          </w:tcPr>
          <w:p w14:paraId="7A34D510" w14:textId="77777777" w:rsidR="00D70531" w:rsidRDefault="00672C9C">
            <w:r>
              <w:rPr>
                <w:rFonts w:ascii="Times New Roman" w:eastAsia="Times New Roman" w:hAnsi="Times New Roman"/>
                <w:sz w:val="18"/>
              </w:rPr>
              <w:t>−7.07</w:t>
            </w:r>
          </w:p>
        </w:tc>
        <w:tc>
          <w:tcPr>
            <w:tcW w:w="1994" w:type="dxa"/>
          </w:tcPr>
          <w:p w14:paraId="57DED1A7" w14:textId="77777777" w:rsidR="00D70531" w:rsidRDefault="00672C9C">
            <w:r>
              <w:rPr>
                <w:rFonts w:ascii="Times New Roman" w:eastAsia="Times New Roman" w:hAnsi="Times New Roman"/>
                <w:sz w:val="18"/>
              </w:rPr>
              <w:t>≈ 0</w:t>
            </w:r>
          </w:p>
        </w:tc>
        <w:tc>
          <w:tcPr>
            <w:tcW w:w="1994" w:type="dxa"/>
          </w:tcPr>
          <w:p w14:paraId="1A1DE3D7" w14:textId="77777777" w:rsidR="00D70531" w:rsidRDefault="00672C9C">
            <w:r>
              <w:rPr>
                <w:rFonts w:ascii="Times New Roman" w:eastAsia="Times New Roman" w:hAnsi="Times New Roman"/>
                <w:sz w:val="18"/>
              </w:rPr>
              <w:t>Yes</w:t>
            </w:r>
          </w:p>
        </w:tc>
      </w:tr>
      <w:tr w:rsidR="00D70531" w14:paraId="1252DC0C" w14:textId="77777777">
        <w:tc>
          <w:tcPr>
            <w:tcW w:w="1994" w:type="dxa"/>
          </w:tcPr>
          <w:p w14:paraId="13E9255D" w14:textId="77777777" w:rsidR="00D70531" w:rsidRDefault="00672C9C">
            <w:r>
              <w:rPr>
                <w:rFonts w:ascii="Times New Roman" w:eastAsia="Times New Roman" w:hAnsi="Times New Roman"/>
                <w:sz w:val="18"/>
              </w:rPr>
              <w:t>Seasonal difference</w:t>
            </w:r>
          </w:p>
        </w:tc>
        <w:tc>
          <w:tcPr>
            <w:tcW w:w="1994" w:type="dxa"/>
          </w:tcPr>
          <w:p w14:paraId="724B2B90" w14:textId="77777777" w:rsidR="00D70531" w:rsidRDefault="00672C9C">
            <w:r>
              <w:rPr>
                <w:rFonts w:ascii="Times New Roman" w:eastAsia="Times New Roman" w:hAnsi="Times New Roman"/>
                <w:sz w:val="18"/>
              </w:rPr>
              <w:t>ADF</w:t>
            </w:r>
          </w:p>
        </w:tc>
        <w:tc>
          <w:tcPr>
            <w:tcW w:w="1994" w:type="dxa"/>
          </w:tcPr>
          <w:p w14:paraId="48D317CB" w14:textId="77777777" w:rsidR="00D70531" w:rsidRDefault="00672C9C">
            <w:r>
              <w:rPr>
                <w:rFonts w:ascii="Times New Roman" w:eastAsia="Times New Roman" w:hAnsi="Times New Roman"/>
                <w:sz w:val="18"/>
              </w:rPr>
              <w:t>−4.30</w:t>
            </w:r>
          </w:p>
        </w:tc>
        <w:tc>
          <w:tcPr>
            <w:tcW w:w="1994" w:type="dxa"/>
          </w:tcPr>
          <w:p w14:paraId="6544908C" w14:textId="77777777" w:rsidR="00D70531" w:rsidRDefault="00672C9C">
            <w:r>
              <w:rPr>
                <w:rFonts w:ascii="Times New Roman" w:eastAsia="Times New Roman" w:hAnsi="Times New Roman"/>
                <w:sz w:val="18"/>
              </w:rPr>
              <w:t>0.0005</w:t>
            </w:r>
          </w:p>
        </w:tc>
        <w:tc>
          <w:tcPr>
            <w:tcW w:w="1994" w:type="dxa"/>
          </w:tcPr>
          <w:p w14:paraId="126A47D8" w14:textId="77777777" w:rsidR="00D70531" w:rsidRDefault="00672C9C">
            <w:r>
              <w:rPr>
                <w:rFonts w:ascii="Times New Roman" w:eastAsia="Times New Roman" w:hAnsi="Times New Roman"/>
                <w:sz w:val="18"/>
              </w:rPr>
              <w:t>Yes</w:t>
            </w:r>
          </w:p>
        </w:tc>
      </w:tr>
      <w:tr w:rsidR="00D70531" w14:paraId="26303A07" w14:textId="77777777">
        <w:tc>
          <w:tcPr>
            <w:tcW w:w="1994" w:type="dxa"/>
          </w:tcPr>
          <w:p w14:paraId="0FD08324" w14:textId="77777777" w:rsidR="00D70531" w:rsidRDefault="00672C9C">
            <w:r>
              <w:rPr>
                <w:rFonts w:ascii="Times New Roman" w:eastAsia="Times New Roman" w:hAnsi="Times New Roman"/>
                <w:sz w:val="18"/>
              </w:rPr>
              <w:t>Seasonal difference</w:t>
            </w:r>
          </w:p>
        </w:tc>
        <w:tc>
          <w:tcPr>
            <w:tcW w:w="1994" w:type="dxa"/>
          </w:tcPr>
          <w:p w14:paraId="4D43BA31" w14:textId="77777777" w:rsidR="00D70531" w:rsidRDefault="00672C9C">
            <w:r>
              <w:rPr>
                <w:rFonts w:ascii="Times New Roman" w:eastAsia="Times New Roman" w:hAnsi="Times New Roman"/>
                <w:sz w:val="18"/>
              </w:rPr>
              <w:t>KPSS</w:t>
            </w:r>
          </w:p>
        </w:tc>
        <w:tc>
          <w:tcPr>
            <w:tcW w:w="1994" w:type="dxa"/>
          </w:tcPr>
          <w:p w14:paraId="3A4AD9E5" w14:textId="77777777" w:rsidR="00D70531" w:rsidRDefault="00672C9C">
            <w:r>
              <w:rPr>
                <w:rFonts w:ascii="Times New Roman" w:eastAsia="Times New Roman" w:hAnsi="Times New Roman"/>
                <w:sz w:val="18"/>
              </w:rPr>
              <w:t>1.34</w:t>
            </w:r>
          </w:p>
        </w:tc>
        <w:tc>
          <w:tcPr>
            <w:tcW w:w="1994" w:type="dxa"/>
          </w:tcPr>
          <w:p w14:paraId="6495F5D7" w14:textId="77777777" w:rsidR="00D70531" w:rsidRDefault="00672C9C">
            <w:r>
              <w:rPr>
                <w:rFonts w:ascii="Times New Roman" w:eastAsia="Times New Roman" w:hAnsi="Times New Roman"/>
                <w:sz w:val="18"/>
              </w:rPr>
              <w:t>0.01</w:t>
            </w:r>
          </w:p>
        </w:tc>
        <w:tc>
          <w:tcPr>
            <w:tcW w:w="1994" w:type="dxa"/>
          </w:tcPr>
          <w:p w14:paraId="6805162A" w14:textId="77777777" w:rsidR="00D70531" w:rsidRDefault="00672C9C">
            <w:r>
              <w:rPr>
                <w:rFonts w:ascii="Times New Roman" w:eastAsia="Times New Roman" w:hAnsi="Times New Roman"/>
                <w:sz w:val="18"/>
              </w:rPr>
              <w:t>No (KPSS)</w:t>
            </w:r>
          </w:p>
        </w:tc>
      </w:tr>
    </w:tbl>
    <w:p w14:paraId="585B230B" w14:textId="77777777" w:rsidR="00D70531" w:rsidRDefault="00672C9C">
      <w:pPr>
        <w:spacing w:after="160" w:line="240" w:lineRule="auto"/>
      </w:pPr>
      <w:r>
        <w:rPr>
          <w:rFonts w:ascii="Times New Roman" w:eastAsia="Times New Roman" w:hAnsi="Times New Roman"/>
        </w:rPr>
        <w:t>Level tests do not by themselves force first differencing. The seasonal ACF pattern and SARIMA practice still motivate seasonal differencing D = 1 with period 52. Non-seasonal d was left free in the AIC search.</w:t>
      </w:r>
    </w:p>
    <w:p w14:paraId="3B5C5123" w14:textId="77777777" w:rsidR="00D70531" w:rsidRDefault="00672C9C">
      <w:pPr>
        <w:spacing w:before="240" w:after="120"/>
      </w:pPr>
      <w:r>
        <w:rPr>
          <w:rFonts w:ascii="Times New Roman" w:eastAsia="Times New Roman" w:hAnsi="Times New Roman"/>
          <w:b/>
          <w:sz w:val="28"/>
        </w:rPr>
        <w:t>4. Forecasting methods</w:t>
      </w:r>
    </w:p>
    <w:p w14:paraId="5FA17405" w14:textId="77777777" w:rsidR="00D70531" w:rsidRDefault="00672C9C">
      <w:pPr>
        <w:spacing w:before="160" w:after="120"/>
      </w:pPr>
      <w:r>
        <w:rPr>
          <w:rFonts w:ascii="Times New Roman" w:eastAsia="Times New Roman" w:hAnsi="Times New Roman"/>
          <w:b/>
          <w:sz w:val="24"/>
        </w:rPr>
        <w:t>4.1 Benchmark models</w:t>
      </w:r>
    </w:p>
    <w:p w14:paraId="4FECC885" w14:textId="77777777" w:rsidR="00D70531" w:rsidRDefault="00672C9C">
      <w:pPr>
        <w:spacing w:after="160" w:line="240" w:lineRule="auto"/>
      </w:pPr>
      <w:r>
        <w:rPr>
          <w:rFonts w:ascii="Times New Roman" w:eastAsia="Times New Roman" w:hAnsi="Times New Roman"/>
        </w:rPr>
        <w:t>Four benchmarks discussed in lecture material were computed on a 104-week (two-year) test window: mean forecast, naïve (last observation carried forward), seasonal naïve (same week one year earlier, lag 52) and drift. Seasonal naïve is treated as the primary benchmark because electricity demand is strongly yearly. Forecasts use training history only and do not update using future observed test load, preventing evaluation leakage.</w:t>
      </w:r>
    </w:p>
    <w:p w14:paraId="49D574F3" w14:textId="77777777" w:rsidR="00D70531" w:rsidRDefault="00672C9C">
      <w:pPr>
        <w:spacing w:before="160" w:after="120"/>
      </w:pPr>
      <w:r>
        <w:rPr>
          <w:rFonts w:ascii="Times New Roman" w:eastAsia="Times New Roman" w:hAnsi="Times New Roman"/>
          <w:b/>
          <w:sz w:val="24"/>
        </w:rPr>
        <w:t>4.2 SARIMA with AIC grid search</w:t>
      </w:r>
    </w:p>
    <w:p w14:paraId="1CF477EE" w14:textId="77777777" w:rsidR="00D70531" w:rsidRDefault="00672C9C">
      <w:pPr>
        <w:spacing w:after="160" w:line="240" w:lineRule="auto"/>
      </w:pPr>
      <w:r>
        <w:rPr>
          <w:rFonts w:ascii="Times New Roman" w:eastAsia="Times New Roman" w:hAnsi="Times New Roman"/>
        </w:rPr>
        <w:t>Seasonal ARIMA models were estimated with statsmodels. Seasonal structure was fixed at (P, D, Q, s) = (1, 1, 1, 52) following the EDA, while non-seasonal orders were searched exhaustively over p ∈ {0,…,6}, d ∈ {0,1,2} and q ∈ {0,…,6} (147 candidates). Selection used training AIC only. Residual diagnostics comprised residual plots, histograms and residual ACF. Forecasts include 80% and 95% prediction intervals.</w:t>
      </w:r>
    </w:p>
    <w:p w14:paraId="69A99D48" w14:textId="77777777" w:rsidR="00D70531" w:rsidRDefault="00672C9C">
      <w:pPr>
        <w:spacing w:before="160" w:after="120"/>
      </w:pPr>
      <w:r>
        <w:rPr>
          <w:rFonts w:ascii="Times New Roman" w:eastAsia="Times New Roman" w:hAnsi="Times New Roman"/>
          <w:b/>
          <w:sz w:val="24"/>
        </w:rPr>
        <w:t>4.3 SARIMAX with temperature and holidays</w:t>
      </w:r>
    </w:p>
    <w:p w14:paraId="2B03B95C" w14:textId="77777777" w:rsidR="00D70531" w:rsidRDefault="00672C9C">
      <w:pPr>
        <w:spacing w:after="160" w:line="240" w:lineRule="auto"/>
      </w:pPr>
      <w:r>
        <w:rPr>
          <w:rFonts w:ascii="Times New Roman" w:eastAsia="Times New Roman" w:hAnsi="Times New Roman"/>
        </w:rPr>
        <w:t>The preferred SARIMA orders were re-estimated with exogenous regressors: temp_mean, heating_degree, cooling_degree, holiday_days and has_holiday. Ablations without holidays and without any exog were retained. Because test-period temperatures were observed archive values rather than weather forecasts, SARIMAX forecasts are reported as conditional (explanatory) forecasts, not fully operational forecasts.</w:t>
      </w:r>
    </w:p>
    <w:p w14:paraId="48EACEF8" w14:textId="77777777" w:rsidR="00D70531" w:rsidRDefault="00672C9C">
      <w:pPr>
        <w:spacing w:before="160" w:after="120"/>
      </w:pPr>
      <w:r>
        <w:rPr>
          <w:rFonts w:ascii="Times New Roman" w:eastAsia="Times New Roman" w:hAnsi="Times New Roman"/>
          <w:b/>
          <w:sz w:val="24"/>
        </w:rPr>
        <w:t>4.4 Feature-based model</w:t>
      </w:r>
    </w:p>
    <w:p w14:paraId="7312E40C" w14:textId="77777777" w:rsidR="00D70531" w:rsidRDefault="00672C9C">
      <w:pPr>
        <w:spacing w:after="160" w:line="240" w:lineRule="auto"/>
      </w:pPr>
      <w:r>
        <w:rPr>
          <w:rFonts w:ascii="Times New Roman" w:eastAsia="Times New Roman" w:hAnsi="Times New Roman"/>
        </w:rPr>
        <w:t>A HistGradientBoostingRegressor used lag features (1, 2, 4, 8, 13, 26, 52), rolling means computed after a one-step shift, calendar/Fourier terms, and the same temperature and holiday covariates. Multi-step forecasts over 104 weeks were recursive: each prediction is appended to history before constructing the next week’s lag features, so future observed load cannot leak into predictors.</w:t>
      </w:r>
    </w:p>
    <w:p w14:paraId="36C3860A" w14:textId="77777777" w:rsidR="00D70531" w:rsidRDefault="00672C9C">
      <w:pPr>
        <w:spacing w:before="160" w:after="120"/>
      </w:pPr>
      <w:r>
        <w:rPr>
          <w:rFonts w:ascii="Times New Roman" w:eastAsia="Times New Roman" w:hAnsi="Times New Roman"/>
          <w:b/>
          <w:sz w:val="24"/>
        </w:rPr>
        <w:t>4.5 LSTM on hourly data</w:t>
      </w:r>
    </w:p>
    <w:p w14:paraId="13676AFD" w14:textId="0EA3EB9B" w:rsidR="004B56E1" w:rsidRPr="004B56E1" w:rsidRDefault="00672C9C" w:rsidP="004B56E1">
      <w:pPr>
        <w:spacing w:after="160" w:line="240" w:lineRule="auto"/>
      </w:pPr>
      <w:r>
        <w:rPr>
          <w:rFonts w:ascii="Times New Roman" w:eastAsia="Times New Roman" w:hAnsi="Times New Roman"/>
        </w:rPr>
        <w:t>An LSTM was trained on hourly load (MW) with MinMax scaling fitted on the training window only. A small validation grid compared sequence lengths 24 and 168 hours and 32/64 units. The selected configuration was seq_len = 168, units = 32, one LSTM layer. Predictions for the final two years of hours used recursive one-step rollouts. LSTM use for load forecasting is supported by Hossain et al. (2020) and reviewed by Nabavi et al. (2024); those studies typically emphasise shorter horizons than a two-year recurs</w:t>
      </w:r>
      <w:r>
        <w:rPr>
          <w:rFonts w:ascii="Times New Roman" w:eastAsia="Times New Roman" w:hAnsi="Times New Roman"/>
        </w:rPr>
        <w:t>ive path.</w:t>
      </w:r>
    </w:p>
    <w:p w14:paraId="610C6083" w14:textId="428F6D78" w:rsidR="00D70531" w:rsidRDefault="00672C9C">
      <w:pPr>
        <w:spacing w:before="240" w:after="120"/>
      </w:pPr>
      <w:r>
        <w:rPr>
          <w:rFonts w:ascii="Times New Roman" w:eastAsia="Times New Roman" w:hAnsi="Times New Roman"/>
          <w:b/>
          <w:sz w:val="28"/>
        </w:rPr>
        <w:t>5. Evaluation design</w:t>
      </w:r>
    </w:p>
    <w:p w14:paraId="32DF6086" w14:textId="77777777" w:rsidR="00D70531" w:rsidRDefault="00672C9C">
      <w:pPr>
        <w:spacing w:after="160" w:line="240" w:lineRule="auto"/>
      </w:pPr>
      <w:r>
        <w:rPr>
          <w:rFonts w:ascii="Times New Roman" w:eastAsia="Times New Roman" w:hAnsi="Times New Roman"/>
        </w:rPr>
        <w:t xml:space="preserve">All weekly models share the same chronological split: training ends 7 October 2018; testing runs 14 October 2018 to 4 October 2020 (104 weeks). For hourly models the last 17,520 hours form the test window. Accuracy metrics are MAE, RMSE, MASE and Bias. MASE scales absolute errors by in-sample seasonal-naïve error </w:t>
      </w:r>
      <w:r>
        <w:rPr>
          <w:rFonts w:ascii="Times New Roman" w:eastAsia="Times New Roman" w:hAnsi="Times New Roman"/>
        </w:rPr>
        <w:lastRenderedPageBreak/>
        <w:t>(seasonality 52 weekly; 168 hours for hourly models), allowing dimensionless comparison against the seasonal benchmark (Hyndman and Koehler, 2006).</w:t>
      </w:r>
    </w:p>
    <w:p w14:paraId="3E86D3D7" w14:textId="77777777" w:rsidR="00D70531" w:rsidRDefault="00672C9C">
      <w:pPr>
        <w:spacing w:after="160" w:line="240" w:lineRule="auto"/>
      </w:pPr>
      <w:r>
        <w:rPr>
          <w:rFonts w:ascii="Times New Roman" w:eastAsia="Times New Roman" w:hAnsi="Times New Roman"/>
        </w:rPr>
        <w:t>Leakage controls: chronological split only; AIC and scaler fitted on training data; load lags via shift/rolling-on-shifted values; recursive multi-step ML/LSTM forecasts; realised test temperatures labelled as conditional information.</w:t>
      </w:r>
    </w:p>
    <w:p w14:paraId="5579ACCE" w14:textId="77777777" w:rsidR="00D70531" w:rsidRDefault="00672C9C">
      <w:pPr>
        <w:spacing w:before="240" w:after="120"/>
      </w:pPr>
      <w:r>
        <w:rPr>
          <w:rFonts w:ascii="Times New Roman" w:eastAsia="Times New Roman" w:hAnsi="Times New Roman"/>
          <w:b/>
          <w:sz w:val="28"/>
        </w:rPr>
        <w:t>6. Results</w:t>
      </w:r>
    </w:p>
    <w:p w14:paraId="37E7428A" w14:textId="77777777" w:rsidR="00D70531" w:rsidRDefault="00672C9C">
      <w:pPr>
        <w:spacing w:before="160" w:after="120"/>
      </w:pPr>
      <w:r>
        <w:rPr>
          <w:rFonts w:ascii="Times New Roman" w:eastAsia="Times New Roman" w:hAnsi="Times New Roman"/>
          <w:b/>
          <w:sz w:val="24"/>
        </w:rPr>
        <w:t>6.1 Benchmark forecasts</w:t>
      </w:r>
    </w:p>
    <w:p w14:paraId="3DF06A98" w14:textId="77777777" w:rsidR="00D70531" w:rsidRDefault="00672C9C">
      <w:pPr>
        <w:spacing w:before="120" w:after="40"/>
        <w:jc w:val="center"/>
      </w:pPr>
      <w:r>
        <w:rPr>
          <w:noProof/>
        </w:rPr>
        <w:drawing>
          <wp:inline distT="0" distB="0" distL="0" distR="0" wp14:anchorId="647975B7" wp14:editId="22A5E97D">
            <wp:extent cx="5212080" cy="2192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enchmark_forecasts.png"/>
                    <pic:cNvPicPr/>
                  </pic:nvPicPr>
                  <pic:blipFill>
                    <a:blip r:embed="rId9"/>
                    <a:stretch>
                      <a:fillRect/>
                    </a:stretch>
                  </pic:blipFill>
                  <pic:spPr>
                    <a:xfrm>
                      <a:off x="0" y="0"/>
                      <a:ext cx="5212080" cy="2192043"/>
                    </a:xfrm>
                    <a:prstGeom prst="rect">
                      <a:avLst/>
                    </a:prstGeom>
                  </pic:spPr>
                </pic:pic>
              </a:graphicData>
            </a:graphic>
          </wp:inline>
        </w:drawing>
      </w:r>
    </w:p>
    <w:p w14:paraId="4B36277A" w14:textId="77777777" w:rsidR="00D70531" w:rsidRDefault="00672C9C">
      <w:pPr>
        <w:jc w:val="center"/>
      </w:pPr>
      <w:r>
        <w:rPr>
          <w:rFonts w:ascii="Times New Roman" w:eastAsia="Times New Roman" w:hAnsi="Times New Roman"/>
          <w:i/>
          <w:sz w:val="20"/>
        </w:rPr>
        <w:t>Figure 4. Two-year benchmark forecasts versus actual weekly load.</w:t>
      </w:r>
    </w:p>
    <w:tbl>
      <w:tblPr>
        <w:tblStyle w:val="TableGrid"/>
        <w:tblW w:w="0" w:type="auto"/>
        <w:tblLook w:val="04A0" w:firstRow="1" w:lastRow="0" w:firstColumn="1" w:lastColumn="0" w:noHBand="0" w:noVBand="1"/>
      </w:tblPr>
      <w:tblGrid>
        <w:gridCol w:w="1994"/>
        <w:gridCol w:w="1992"/>
        <w:gridCol w:w="1992"/>
        <w:gridCol w:w="1992"/>
        <w:gridCol w:w="1992"/>
      </w:tblGrid>
      <w:tr w:rsidR="00D70531" w14:paraId="0931AD92" w14:textId="77777777">
        <w:tc>
          <w:tcPr>
            <w:tcW w:w="1994" w:type="dxa"/>
          </w:tcPr>
          <w:p w14:paraId="7795607D" w14:textId="77777777" w:rsidR="00D70531" w:rsidRDefault="00672C9C">
            <w:r>
              <w:rPr>
                <w:rFonts w:ascii="Times New Roman" w:eastAsia="Times New Roman" w:hAnsi="Times New Roman"/>
                <w:b/>
                <w:sz w:val="18"/>
              </w:rPr>
              <w:t>Model</w:t>
            </w:r>
          </w:p>
        </w:tc>
        <w:tc>
          <w:tcPr>
            <w:tcW w:w="1994" w:type="dxa"/>
          </w:tcPr>
          <w:p w14:paraId="38A38E33" w14:textId="77777777" w:rsidR="00D70531" w:rsidRDefault="00672C9C">
            <w:r>
              <w:rPr>
                <w:rFonts w:ascii="Times New Roman" w:eastAsia="Times New Roman" w:hAnsi="Times New Roman"/>
                <w:b/>
                <w:sz w:val="18"/>
              </w:rPr>
              <w:t>MAE (GW)</w:t>
            </w:r>
          </w:p>
        </w:tc>
        <w:tc>
          <w:tcPr>
            <w:tcW w:w="1994" w:type="dxa"/>
          </w:tcPr>
          <w:p w14:paraId="75931EDA" w14:textId="77777777" w:rsidR="00D70531" w:rsidRDefault="00672C9C">
            <w:r>
              <w:rPr>
                <w:rFonts w:ascii="Times New Roman" w:eastAsia="Times New Roman" w:hAnsi="Times New Roman"/>
                <w:b/>
                <w:sz w:val="18"/>
              </w:rPr>
              <w:t>RMSE (GW)</w:t>
            </w:r>
          </w:p>
        </w:tc>
        <w:tc>
          <w:tcPr>
            <w:tcW w:w="1994" w:type="dxa"/>
          </w:tcPr>
          <w:p w14:paraId="281399B7" w14:textId="77777777" w:rsidR="00D70531" w:rsidRDefault="00672C9C">
            <w:r>
              <w:rPr>
                <w:rFonts w:ascii="Times New Roman" w:eastAsia="Times New Roman" w:hAnsi="Times New Roman"/>
                <w:b/>
                <w:sz w:val="18"/>
              </w:rPr>
              <w:t>MASE</w:t>
            </w:r>
          </w:p>
        </w:tc>
        <w:tc>
          <w:tcPr>
            <w:tcW w:w="1994" w:type="dxa"/>
          </w:tcPr>
          <w:p w14:paraId="12FCD986" w14:textId="77777777" w:rsidR="00D70531" w:rsidRDefault="00672C9C">
            <w:r>
              <w:rPr>
                <w:rFonts w:ascii="Times New Roman" w:eastAsia="Times New Roman" w:hAnsi="Times New Roman"/>
                <w:b/>
                <w:sz w:val="18"/>
              </w:rPr>
              <w:t>Bias (GW)</w:t>
            </w:r>
          </w:p>
        </w:tc>
      </w:tr>
      <w:tr w:rsidR="00D70531" w14:paraId="31E44E71" w14:textId="77777777">
        <w:tc>
          <w:tcPr>
            <w:tcW w:w="1994" w:type="dxa"/>
          </w:tcPr>
          <w:p w14:paraId="51DC5CE1" w14:textId="77777777" w:rsidR="00D70531" w:rsidRDefault="00672C9C">
            <w:r>
              <w:rPr>
                <w:rFonts w:ascii="Times New Roman" w:eastAsia="Times New Roman" w:hAnsi="Times New Roman"/>
                <w:sz w:val="18"/>
              </w:rPr>
              <w:t>Seasonal naïve</w:t>
            </w:r>
          </w:p>
        </w:tc>
        <w:tc>
          <w:tcPr>
            <w:tcW w:w="1994" w:type="dxa"/>
          </w:tcPr>
          <w:p w14:paraId="0DE40F57" w14:textId="77777777" w:rsidR="00D70531" w:rsidRDefault="00672C9C">
            <w:r>
              <w:rPr>
                <w:rFonts w:ascii="Times New Roman" w:eastAsia="Times New Roman" w:hAnsi="Times New Roman"/>
                <w:sz w:val="18"/>
              </w:rPr>
              <w:t>2.319</w:t>
            </w:r>
          </w:p>
        </w:tc>
        <w:tc>
          <w:tcPr>
            <w:tcW w:w="1994" w:type="dxa"/>
          </w:tcPr>
          <w:p w14:paraId="012D29CB" w14:textId="77777777" w:rsidR="00D70531" w:rsidRDefault="00672C9C">
            <w:r>
              <w:rPr>
                <w:rFonts w:ascii="Times New Roman" w:eastAsia="Times New Roman" w:hAnsi="Times New Roman"/>
                <w:sz w:val="18"/>
              </w:rPr>
              <w:t>3.007</w:t>
            </w:r>
          </w:p>
        </w:tc>
        <w:tc>
          <w:tcPr>
            <w:tcW w:w="1994" w:type="dxa"/>
          </w:tcPr>
          <w:p w14:paraId="3CA8F22A" w14:textId="77777777" w:rsidR="00D70531" w:rsidRDefault="00672C9C">
            <w:r>
              <w:rPr>
                <w:rFonts w:ascii="Times New Roman" w:eastAsia="Times New Roman" w:hAnsi="Times New Roman"/>
                <w:sz w:val="18"/>
              </w:rPr>
              <w:t>1.732</w:t>
            </w:r>
          </w:p>
        </w:tc>
        <w:tc>
          <w:tcPr>
            <w:tcW w:w="1994" w:type="dxa"/>
          </w:tcPr>
          <w:p w14:paraId="385F0F8C" w14:textId="77777777" w:rsidR="00D70531" w:rsidRDefault="00672C9C">
            <w:r>
              <w:rPr>
                <w:rFonts w:ascii="Times New Roman" w:eastAsia="Times New Roman" w:hAnsi="Times New Roman"/>
                <w:sz w:val="18"/>
              </w:rPr>
              <w:t>1.732</w:t>
            </w:r>
          </w:p>
        </w:tc>
      </w:tr>
      <w:tr w:rsidR="00D70531" w14:paraId="2EAA06A1" w14:textId="77777777">
        <w:tc>
          <w:tcPr>
            <w:tcW w:w="1994" w:type="dxa"/>
          </w:tcPr>
          <w:p w14:paraId="1EA22410" w14:textId="77777777" w:rsidR="00D70531" w:rsidRDefault="00672C9C">
            <w:r>
              <w:rPr>
                <w:rFonts w:ascii="Times New Roman" w:eastAsia="Times New Roman" w:hAnsi="Times New Roman"/>
                <w:sz w:val="18"/>
              </w:rPr>
              <w:t>Naïve</w:t>
            </w:r>
          </w:p>
        </w:tc>
        <w:tc>
          <w:tcPr>
            <w:tcW w:w="1994" w:type="dxa"/>
          </w:tcPr>
          <w:p w14:paraId="4D4E3993" w14:textId="77777777" w:rsidR="00D70531" w:rsidRDefault="00672C9C">
            <w:r>
              <w:rPr>
                <w:rFonts w:ascii="Times New Roman" w:eastAsia="Times New Roman" w:hAnsi="Times New Roman"/>
                <w:sz w:val="18"/>
              </w:rPr>
              <w:t>3.783</w:t>
            </w:r>
          </w:p>
        </w:tc>
        <w:tc>
          <w:tcPr>
            <w:tcW w:w="1994" w:type="dxa"/>
          </w:tcPr>
          <w:p w14:paraId="4D03AC58" w14:textId="77777777" w:rsidR="00D70531" w:rsidRDefault="00672C9C">
            <w:r>
              <w:rPr>
                <w:rFonts w:ascii="Times New Roman" w:eastAsia="Times New Roman" w:hAnsi="Times New Roman"/>
                <w:sz w:val="18"/>
              </w:rPr>
              <w:t>4.459</w:t>
            </w:r>
          </w:p>
        </w:tc>
        <w:tc>
          <w:tcPr>
            <w:tcW w:w="1994" w:type="dxa"/>
          </w:tcPr>
          <w:p w14:paraId="20F7940C" w14:textId="77777777" w:rsidR="00D70531" w:rsidRDefault="00672C9C">
            <w:r>
              <w:rPr>
                <w:rFonts w:ascii="Times New Roman" w:eastAsia="Times New Roman" w:hAnsi="Times New Roman"/>
                <w:sz w:val="18"/>
              </w:rPr>
              <w:t>2.827</w:t>
            </w:r>
          </w:p>
        </w:tc>
        <w:tc>
          <w:tcPr>
            <w:tcW w:w="1994" w:type="dxa"/>
          </w:tcPr>
          <w:p w14:paraId="54F74F4C" w14:textId="77777777" w:rsidR="00D70531" w:rsidRDefault="00672C9C">
            <w:r>
              <w:rPr>
                <w:rFonts w:ascii="Times New Roman" w:eastAsia="Times New Roman" w:hAnsi="Times New Roman"/>
                <w:sz w:val="18"/>
              </w:rPr>
              <w:t>−0.882</w:t>
            </w:r>
          </w:p>
        </w:tc>
      </w:tr>
      <w:tr w:rsidR="00D70531" w14:paraId="2D862132" w14:textId="77777777">
        <w:tc>
          <w:tcPr>
            <w:tcW w:w="1994" w:type="dxa"/>
          </w:tcPr>
          <w:p w14:paraId="4BCD172B" w14:textId="77777777" w:rsidR="00D70531" w:rsidRDefault="00672C9C">
            <w:r>
              <w:rPr>
                <w:rFonts w:ascii="Times New Roman" w:eastAsia="Times New Roman" w:hAnsi="Times New Roman"/>
                <w:sz w:val="18"/>
              </w:rPr>
              <w:t>Mean</w:t>
            </w:r>
          </w:p>
        </w:tc>
        <w:tc>
          <w:tcPr>
            <w:tcW w:w="1994" w:type="dxa"/>
          </w:tcPr>
          <w:p w14:paraId="15FEADCE" w14:textId="77777777" w:rsidR="00D70531" w:rsidRDefault="00672C9C">
            <w:r>
              <w:rPr>
                <w:rFonts w:ascii="Times New Roman" w:eastAsia="Times New Roman" w:hAnsi="Times New Roman"/>
                <w:sz w:val="18"/>
              </w:rPr>
              <w:t>3.789</w:t>
            </w:r>
          </w:p>
        </w:tc>
        <w:tc>
          <w:tcPr>
            <w:tcW w:w="1994" w:type="dxa"/>
          </w:tcPr>
          <w:p w14:paraId="665E81DD" w14:textId="77777777" w:rsidR="00D70531" w:rsidRDefault="00672C9C">
            <w:r>
              <w:rPr>
                <w:rFonts w:ascii="Times New Roman" w:eastAsia="Times New Roman" w:hAnsi="Times New Roman"/>
                <w:sz w:val="18"/>
              </w:rPr>
              <w:t>4.397</w:t>
            </w:r>
          </w:p>
        </w:tc>
        <w:tc>
          <w:tcPr>
            <w:tcW w:w="1994" w:type="dxa"/>
          </w:tcPr>
          <w:p w14:paraId="52A8E6CE" w14:textId="77777777" w:rsidR="00D70531" w:rsidRDefault="00672C9C">
            <w:r>
              <w:rPr>
                <w:rFonts w:ascii="Times New Roman" w:eastAsia="Times New Roman" w:hAnsi="Times New Roman"/>
                <w:sz w:val="18"/>
              </w:rPr>
              <w:t>2.831</w:t>
            </w:r>
          </w:p>
        </w:tc>
        <w:tc>
          <w:tcPr>
            <w:tcW w:w="1994" w:type="dxa"/>
          </w:tcPr>
          <w:p w14:paraId="34AB5FC7" w14:textId="77777777" w:rsidR="00D70531" w:rsidRDefault="00672C9C">
            <w:r>
              <w:rPr>
                <w:rFonts w:ascii="Times New Roman" w:eastAsia="Times New Roman" w:hAnsi="Times New Roman"/>
                <w:sz w:val="18"/>
              </w:rPr>
              <w:t>0.481</w:t>
            </w:r>
          </w:p>
        </w:tc>
      </w:tr>
      <w:tr w:rsidR="00D70531" w14:paraId="4BCFA5D6" w14:textId="77777777">
        <w:tc>
          <w:tcPr>
            <w:tcW w:w="1994" w:type="dxa"/>
          </w:tcPr>
          <w:p w14:paraId="0DB45515" w14:textId="77777777" w:rsidR="00D70531" w:rsidRDefault="00672C9C">
            <w:r>
              <w:rPr>
                <w:rFonts w:ascii="Times New Roman" w:eastAsia="Times New Roman" w:hAnsi="Times New Roman"/>
                <w:sz w:val="18"/>
              </w:rPr>
              <w:t>Drift</w:t>
            </w:r>
          </w:p>
        </w:tc>
        <w:tc>
          <w:tcPr>
            <w:tcW w:w="1994" w:type="dxa"/>
          </w:tcPr>
          <w:p w14:paraId="5A30B8E8" w14:textId="77777777" w:rsidR="00D70531" w:rsidRDefault="00672C9C">
            <w:r>
              <w:rPr>
                <w:rFonts w:ascii="Times New Roman" w:eastAsia="Times New Roman" w:hAnsi="Times New Roman"/>
                <w:sz w:val="18"/>
              </w:rPr>
              <w:t>4.340</w:t>
            </w:r>
          </w:p>
        </w:tc>
        <w:tc>
          <w:tcPr>
            <w:tcW w:w="1994" w:type="dxa"/>
          </w:tcPr>
          <w:p w14:paraId="1A32718D" w14:textId="77777777" w:rsidR="00D70531" w:rsidRDefault="00672C9C">
            <w:r>
              <w:rPr>
                <w:rFonts w:ascii="Times New Roman" w:eastAsia="Times New Roman" w:hAnsi="Times New Roman"/>
                <w:sz w:val="18"/>
              </w:rPr>
              <w:t>5.118</w:t>
            </w:r>
          </w:p>
        </w:tc>
        <w:tc>
          <w:tcPr>
            <w:tcW w:w="1994" w:type="dxa"/>
          </w:tcPr>
          <w:p w14:paraId="1C3AFCD3" w14:textId="77777777" w:rsidR="00D70531" w:rsidRDefault="00672C9C">
            <w:r>
              <w:rPr>
                <w:rFonts w:ascii="Times New Roman" w:eastAsia="Times New Roman" w:hAnsi="Times New Roman"/>
                <w:sz w:val="18"/>
              </w:rPr>
              <w:t>3.243</w:t>
            </w:r>
          </w:p>
        </w:tc>
        <w:tc>
          <w:tcPr>
            <w:tcW w:w="1994" w:type="dxa"/>
          </w:tcPr>
          <w:p w14:paraId="1E01F2E3" w14:textId="77777777" w:rsidR="00D70531" w:rsidRDefault="00672C9C">
            <w:r>
              <w:rPr>
                <w:rFonts w:ascii="Times New Roman" w:eastAsia="Times New Roman" w:hAnsi="Times New Roman"/>
                <w:sz w:val="18"/>
              </w:rPr>
              <w:t>1.007</w:t>
            </w:r>
          </w:p>
        </w:tc>
      </w:tr>
    </w:tbl>
    <w:p w14:paraId="7819E57F" w14:textId="77777777" w:rsidR="00D70531" w:rsidRDefault="00D70531"/>
    <w:p w14:paraId="1486226A" w14:textId="77777777" w:rsidR="00D70531" w:rsidRDefault="00672C9C">
      <w:pPr>
        <w:spacing w:after="160" w:line="240" w:lineRule="auto"/>
      </w:pPr>
      <w:r>
        <w:rPr>
          <w:rFonts w:ascii="Times New Roman" w:eastAsia="Times New Roman" w:hAnsi="Times New Roman"/>
        </w:rPr>
        <w:t>Seasonal naïve dominates the other simple rules. Mean and naïve forecasts miss annual timing; drift adds little beyond a level offset. Positive seasonal-naïve bias in 2018–2020 (including COVID-affected 2020) shows over-prediction on average, yet within-year shape tracking remains strong.</w:t>
      </w:r>
    </w:p>
    <w:p w14:paraId="78E2F7EC" w14:textId="77777777" w:rsidR="00D70531" w:rsidRDefault="00672C9C">
      <w:pPr>
        <w:spacing w:before="160" w:after="120"/>
      </w:pPr>
      <w:r>
        <w:rPr>
          <w:rFonts w:ascii="Times New Roman" w:eastAsia="Times New Roman" w:hAnsi="Times New Roman"/>
          <w:b/>
          <w:sz w:val="24"/>
        </w:rPr>
        <w:t>6.2 SARIMA selection, residuals and forecast</w:t>
      </w:r>
    </w:p>
    <w:p w14:paraId="364E1A83" w14:textId="77777777" w:rsidR="00D70531" w:rsidRDefault="00672C9C">
      <w:pPr>
        <w:spacing w:after="160" w:line="240" w:lineRule="auto"/>
      </w:pPr>
      <w:r>
        <w:rPr>
          <w:rFonts w:ascii="Times New Roman" w:eastAsia="Times New Roman" w:hAnsi="Times New Roman"/>
        </w:rPr>
        <w:t>All 147 (p, d, q) candidates converged. The minimum-AIC model was SARIMA(4,0,6)×(1,1,1)₅₂ with AIC ≈ 302.73. Nearby competitors included (1,1,6)×(1,1,1)₅₂ (AIC ≈ 303.50) and (4,1,6)×(1,1,1)₅₂ (AIC ≈ 303.59).</w:t>
      </w:r>
    </w:p>
    <w:p w14:paraId="6D5BDE24" w14:textId="77777777" w:rsidR="00D70531" w:rsidRDefault="00672C9C">
      <w:pPr>
        <w:spacing w:before="120" w:after="40"/>
        <w:jc w:val="center"/>
      </w:pPr>
      <w:r>
        <w:rPr>
          <w:noProof/>
        </w:rPr>
        <w:drawing>
          <wp:inline distT="0" distB="0" distL="0" distR="0" wp14:anchorId="51FB2B7D" wp14:editId="2BC03467">
            <wp:extent cx="5212080" cy="12718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rima_residuals.png"/>
                    <pic:cNvPicPr/>
                  </pic:nvPicPr>
                  <pic:blipFill>
                    <a:blip r:embed="rId10"/>
                    <a:stretch>
                      <a:fillRect/>
                    </a:stretch>
                  </pic:blipFill>
                  <pic:spPr>
                    <a:xfrm>
                      <a:off x="0" y="0"/>
                      <a:ext cx="5212080" cy="1271879"/>
                    </a:xfrm>
                    <a:prstGeom prst="rect">
                      <a:avLst/>
                    </a:prstGeom>
                  </pic:spPr>
                </pic:pic>
              </a:graphicData>
            </a:graphic>
          </wp:inline>
        </w:drawing>
      </w:r>
    </w:p>
    <w:p w14:paraId="78660103" w14:textId="77777777" w:rsidR="00D70531" w:rsidRDefault="00672C9C">
      <w:pPr>
        <w:jc w:val="center"/>
      </w:pPr>
      <w:r>
        <w:rPr>
          <w:rFonts w:ascii="Times New Roman" w:eastAsia="Times New Roman" w:hAnsi="Times New Roman"/>
          <w:i/>
          <w:sz w:val="20"/>
        </w:rPr>
        <w:t>Figure 5. SARIMA residual time series, histogram and residual ACF.</w:t>
      </w:r>
    </w:p>
    <w:p w14:paraId="7C41CCB1" w14:textId="77777777" w:rsidR="00D70531" w:rsidRDefault="00672C9C">
      <w:pPr>
        <w:spacing w:before="120" w:after="40"/>
        <w:jc w:val="center"/>
      </w:pPr>
      <w:r>
        <w:rPr>
          <w:noProof/>
        </w:rPr>
        <w:lastRenderedPageBreak/>
        <w:drawing>
          <wp:inline distT="0" distB="0" distL="0" distR="0" wp14:anchorId="07A70CAB" wp14:editId="2E9DA6E8">
            <wp:extent cx="5212080" cy="2207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rima_forecast.png"/>
                    <pic:cNvPicPr/>
                  </pic:nvPicPr>
                  <pic:blipFill>
                    <a:blip r:embed="rId11"/>
                    <a:stretch>
                      <a:fillRect/>
                    </a:stretch>
                  </pic:blipFill>
                  <pic:spPr>
                    <a:xfrm>
                      <a:off x="0" y="0"/>
                      <a:ext cx="5212080" cy="2207999"/>
                    </a:xfrm>
                    <a:prstGeom prst="rect">
                      <a:avLst/>
                    </a:prstGeom>
                  </pic:spPr>
                </pic:pic>
              </a:graphicData>
            </a:graphic>
          </wp:inline>
        </w:drawing>
      </w:r>
    </w:p>
    <w:p w14:paraId="0356A534" w14:textId="77777777" w:rsidR="00D70531" w:rsidRDefault="00672C9C">
      <w:pPr>
        <w:jc w:val="center"/>
      </w:pPr>
      <w:r>
        <w:rPr>
          <w:rFonts w:ascii="Times New Roman" w:eastAsia="Times New Roman" w:hAnsi="Times New Roman"/>
          <w:i/>
          <w:sz w:val="20"/>
        </w:rPr>
        <w:t>Figure 6. SARIMA forecast with prediction intervals over the 104-week test set.</w:t>
      </w:r>
    </w:p>
    <w:p w14:paraId="2E0C7BF5" w14:textId="77777777" w:rsidR="00D70531" w:rsidRDefault="00672C9C">
      <w:pPr>
        <w:spacing w:after="160" w:line="240" w:lineRule="auto"/>
      </w:pPr>
      <w:r>
        <w:rPr>
          <w:rFonts w:ascii="Times New Roman" w:eastAsia="Times New Roman" w:hAnsi="Times New Roman"/>
        </w:rPr>
        <w:t>On the test set, SARIMA MAE ≈ 3.017 GW and MASE ≈ 2.254 — worse than seasonal naïve. Residuals are roughly centred but retain some serial dependence. The multi-step forecast carries a large positive bias (≈ +2.79 GW). A flexible in-sample AIC fit therefore did not guarantee superior long-horizon accuracy.</w:t>
      </w:r>
    </w:p>
    <w:p w14:paraId="2FFC2518" w14:textId="77777777" w:rsidR="00D70531" w:rsidRDefault="00672C9C">
      <w:pPr>
        <w:spacing w:before="160" w:after="120"/>
      </w:pPr>
      <w:r>
        <w:rPr>
          <w:rFonts w:ascii="Times New Roman" w:eastAsia="Times New Roman" w:hAnsi="Times New Roman"/>
          <w:b/>
          <w:sz w:val="24"/>
        </w:rPr>
        <w:t>6.3 SARIMAX: temperature and holiday covariates</w:t>
      </w:r>
    </w:p>
    <w:p w14:paraId="7727E14F" w14:textId="77777777" w:rsidR="00D70531" w:rsidRDefault="00672C9C">
      <w:pPr>
        <w:spacing w:before="120" w:after="40"/>
        <w:jc w:val="center"/>
      </w:pPr>
      <w:r>
        <w:rPr>
          <w:noProof/>
        </w:rPr>
        <w:drawing>
          <wp:inline distT="0" distB="0" distL="0" distR="0" wp14:anchorId="7118E141" wp14:editId="628665AF">
            <wp:extent cx="5212080" cy="22079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arimax_forecast.png"/>
                    <pic:cNvPicPr/>
                  </pic:nvPicPr>
                  <pic:blipFill>
                    <a:blip r:embed="rId12"/>
                    <a:stretch>
                      <a:fillRect/>
                    </a:stretch>
                  </pic:blipFill>
                  <pic:spPr>
                    <a:xfrm>
                      <a:off x="0" y="0"/>
                      <a:ext cx="5212080" cy="2207999"/>
                    </a:xfrm>
                    <a:prstGeom prst="rect">
                      <a:avLst/>
                    </a:prstGeom>
                  </pic:spPr>
                </pic:pic>
              </a:graphicData>
            </a:graphic>
          </wp:inline>
        </w:drawing>
      </w:r>
    </w:p>
    <w:p w14:paraId="4FFB7A80" w14:textId="77777777" w:rsidR="00D70531" w:rsidRDefault="00672C9C">
      <w:pPr>
        <w:jc w:val="center"/>
      </w:pPr>
      <w:r>
        <w:rPr>
          <w:rFonts w:ascii="Times New Roman" w:eastAsia="Times New Roman" w:hAnsi="Times New Roman"/>
          <w:i/>
          <w:sz w:val="20"/>
        </w:rPr>
        <w:t>Figure 7. Conditional SARIMAX forecast using temperature and holiday regressors.</w:t>
      </w:r>
    </w:p>
    <w:tbl>
      <w:tblPr>
        <w:tblStyle w:val="TableGrid"/>
        <w:tblW w:w="0" w:type="auto"/>
        <w:tblLook w:val="04A0" w:firstRow="1" w:lastRow="0" w:firstColumn="1" w:lastColumn="0" w:noHBand="0" w:noVBand="1"/>
      </w:tblPr>
      <w:tblGrid>
        <w:gridCol w:w="1994"/>
        <w:gridCol w:w="1992"/>
        <w:gridCol w:w="1992"/>
        <w:gridCol w:w="1992"/>
        <w:gridCol w:w="1992"/>
      </w:tblGrid>
      <w:tr w:rsidR="00D70531" w14:paraId="58B155EC" w14:textId="77777777">
        <w:tc>
          <w:tcPr>
            <w:tcW w:w="1994" w:type="dxa"/>
          </w:tcPr>
          <w:p w14:paraId="7D97626E" w14:textId="77777777" w:rsidR="00D70531" w:rsidRDefault="00672C9C">
            <w:r>
              <w:rPr>
                <w:rFonts w:ascii="Times New Roman" w:eastAsia="Times New Roman" w:hAnsi="Times New Roman"/>
                <w:b/>
                <w:sz w:val="18"/>
              </w:rPr>
              <w:t>Model</w:t>
            </w:r>
          </w:p>
        </w:tc>
        <w:tc>
          <w:tcPr>
            <w:tcW w:w="1994" w:type="dxa"/>
          </w:tcPr>
          <w:p w14:paraId="33A7FF50" w14:textId="77777777" w:rsidR="00D70531" w:rsidRDefault="00672C9C">
            <w:r>
              <w:rPr>
                <w:rFonts w:ascii="Times New Roman" w:eastAsia="Times New Roman" w:hAnsi="Times New Roman"/>
                <w:b/>
                <w:sz w:val="18"/>
              </w:rPr>
              <w:t>MAE</w:t>
            </w:r>
          </w:p>
        </w:tc>
        <w:tc>
          <w:tcPr>
            <w:tcW w:w="1994" w:type="dxa"/>
          </w:tcPr>
          <w:p w14:paraId="4EFA6286" w14:textId="77777777" w:rsidR="00D70531" w:rsidRDefault="00672C9C">
            <w:r>
              <w:rPr>
                <w:rFonts w:ascii="Times New Roman" w:eastAsia="Times New Roman" w:hAnsi="Times New Roman"/>
                <w:b/>
                <w:sz w:val="18"/>
              </w:rPr>
              <w:t>RMSE</w:t>
            </w:r>
          </w:p>
        </w:tc>
        <w:tc>
          <w:tcPr>
            <w:tcW w:w="1994" w:type="dxa"/>
          </w:tcPr>
          <w:p w14:paraId="76A28CF0" w14:textId="77777777" w:rsidR="00D70531" w:rsidRDefault="00672C9C">
            <w:r>
              <w:rPr>
                <w:rFonts w:ascii="Times New Roman" w:eastAsia="Times New Roman" w:hAnsi="Times New Roman"/>
                <w:b/>
                <w:sz w:val="18"/>
              </w:rPr>
              <w:t>MASE</w:t>
            </w:r>
          </w:p>
        </w:tc>
        <w:tc>
          <w:tcPr>
            <w:tcW w:w="1994" w:type="dxa"/>
          </w:tcPr>
          <w:p w14:paraId="5505C05B" w14:textId="77777777" w:rsidR="00D70531" w:rsidRDefault="00672C9C">
            <w:r>
              <w:rPr>
                <w:rFonts w:ascii="Times New Roman" w:eastAsia="Times New Roman" w:hAnsi="Times New Roman"/>
                <w:b/>
                <w:sz w:val="18"/>
              </w:rPr>
              <w:t>Bias</w:t>
            </w:r>
          </w:p>
        </w:tc>
      </w:tr>
      <w:tr w:rsidR="00D70531" w14:paraId="572D8E4B" w14:textId="77777777">
        <w:tc>
          <w:tcPr>
            <w:tcW w:w="1994" w:type="dxa"/>
          </w:tcPr>
          <w:p w14:paraId="263A2A09" w14:textId="77777777" w:rsidR="00D70531" w:rsidRDefault="00672C9C">
            <w:r>
              <w:rPr>
                <w:rFonts w:ascii="Times New Roman" w:eastAsia="Times New Roman" w:hAnsi="Times New Roman"/>
                <w:sz w:val="18"/>
              </w:rPr>
              <w:t>SARIMAX (no exog)</w:t>
            </w:r>
          </w:p>
        </w:tc>
        <w:tc>
          <w:tcPr>
            <w:tcW w:w="1994" w:type="dxa"/>
          </w:tcPr>
          <w:p w14:paraId="206B52F2" w14:textId="77777777" w:rsidR="00D70531" w:rsidRDefault="00672C9C">
            <w:r>
              <w:rPr>
                <w:rFonts w:ascii="Times New Roman" w:eastAsia="Times New Roman" w:hAnsi="Times New Roman"/>
                <w:sz w:val="18"/>
              </w:rPr>
              <w:t>3.018</w:t>
            </w:r>
          </w:p>
        </w:tc>
        <w:tc>
          <w:tcPr>
            <w:tcW w:w="1994" w:type="dxa"/>
          </w:tcPr>
          <w:p w14:paraId="5059BFD1" w14:textId="77777777" w:rsidR="00D70531" w:rsidRDefault="00672C9C">
            <w:r>
              <w:rPr>
                <w:rFonts w:ascii="Times New Roman" w:eastAsia="Times New Roman" w:hAnsi="Times New Roman"/>
                <w:sz w:val="18"/>
              </w:rPr>
              <w:t>3.729</w:t>
            </w:r>
          </w:p>
        </w:tc>
        <w:tc>
          <w:tcPr>
            <w:tcW w:w="1994" w:type="dxa"/>
          </w:tcPr>
          <w:p w14:paraId="1E208DB8" w14:textId="77777777" w:rsidR="00D70531" w:rsidRDefault="00672C9C">
            <w:r>
              <w:rPr>
                <w:rFonts w:ascii="Times New Roman" w:eastAsia="Times New Roman" w:hAnsi="Times New Roman"/>
                <w:sz w:val="18"/>
              </w:rPr>
              <w:t>2.255</w:t>
            </w:r>
          </w:p>
        </w:tc>
        <w:tc>
          <w:tcPr>
            <w:tcW w:w="1994" w:type="dxa"/>
          </w:tcPr>
          <w:p w14:paraId="61E988AF" w14:textId="77777777" w:rsidR="00D70531" w:rsidRDefault="00672C9C">
            <w:r>
              <w:rPr>
                <w:rFonts w:ascii="Times New Roman" w:eastAsia="Times New Roman" w:hAnsi="Times New Roman"/>
                <w:sz w:val="18"/>
              </w:rPr>
              <w:t>2.785</w:t>
            </w:r>
          </w:p>
        </w:tc>
      </w:tr>
      <w:tr w:rsidR="00D70531" w14:paraId="62097386" w14:textId="77777777">
        <w:tc>
          <w:tcPr>
            <w:tcW w:w="1994" w:type="dxa"/>
          </w:tcPr>
          <w:p w14:paraId="09B8C298" w14:textId="77777777" w:rsidR="00D70531" w:rsidRDefault="00672C9C">
            <w:r>
              <w:rPr>
                <w:rFonts w:ascii="Times New Roman" w:eastAsia="Times New Roman" w:hAnsi="Times New Roman"/>
                <w:sz w:val="18"/>
              </w:rPr>
              <w:t>SARIMAX (temperature)</w:t>
            </w:r>
          </w:p>
        </w:tc>
        <w:tc>
          <w:tcPr>
            <w:tcW w:w="1994" w:type="dxa"/>
          </w:tcPr>
          <w:p w14:paraId="100DF18D" w14:textId="77777777" w:rsidR="00D70531" w:rsidRDefault="00672C9C">
            <w:r>
              <w:rPr>
                <w:rFonts w:ascii="Times New Roman" w:eastAsia="Times New Roman" w:hAnsi="Times New Roman"/>
                <w:sz w:val="18"/>
              </w:rPr>
              <w:t>2.802</w:t>
            </w:r>
          </w:p>
        </w:tc>
        <w:tc>
          <w:tcPr>
            <w:tcW w:w="1994" w:type="dxa"/>
          </w:tcPr>
          <w:p w14:paraId="01F867C6" w14:textId="77777777" w:rsidR="00D70531" w:rsidRDefault="00672C9C">
            <w:r>
              <w:rPr>
                <w:rFonts w:ascii="Times New Roman" w:eastAsia="Times New Roman" w:hAnsi="Times New Roman"/>
                <w:sz w:val="18"/>
              </w:rPr>
              <w:t>3.589</w:t>
            </w:r>
          </w:p>
        </w:tc>
        <w:tc>
          <w:tcPr>
            <w:tcW w:w="1994" w:type="dxa"/>
          </w:tcPr>
          <w:p w14:paraId="31B1B73A" w14:textId="77777777" w:rsidR="00D70531" w:rsidRDefault="00672C9C">
            <w:r>
              <w:rPr>
                <w:rFonts w:ascii="Times New Roman" w:eastAsia="Times New Roman" w:hAnsi="Times New Roman"/>
                <w:sz w:val="18"/>
              </w:rPr>
              <w:t>2.094</w:t>
            </w:r>
          </w:p>
        </w:tc>
        <w:tc>
          <w:tcPr>
            <w:tcW w:w="1994" w:type="dxa"/>
          </w:tcPr>
          <w:p w14:paraId="09CEEA91" w14:textId="77777777" w:rsidR="00D70531" w:rsidRDefault="00672C9C">
            <w:r>
              <w:rPr>
                <w:rFonts w:ascii="Times New Roman" w:eastAsia="Times New Roman" w:hAnsi="Times New Roman"/>
                <w:sz w:val="18"/>
              </w:rPr>
              <w:t>2.580</w:t>
            </w:r>
          </w:p>
        </w:tc>
      </w:tr>
      <w:tr w:rsidR="00D70531" w14:paraId="64C77301" w14:textId="77777777">
        <w:tc>
          <w:tcPr>
            <w:tcW w:w="1994" w:type="dxa"/>
          </w:tcPr>
          <w:p w14:paraId="1FA1B406" w14:textId="77777777" w:rsidR="00D70531" w:rsidRDefault="00672C9C">
            <w:r>
              <w:rPr>
                <w:rFonts w:ascii="Times New Roman" w:eastAsia="Times New Roman" w:hAnsi="Times New Roman"/>
                <w:sz w:val="18"/>
              </w:rPr>
              <w:t>SARIMAX (temp + holidays)</w:t>
            </w:r>
          </w:p>
        </w:tc>
        <w:tc>
          <w:tcPr>
            <w:tcW w:w="1994" w:type="dxa"/>
          </w:tcPr>
          <w:p w14:paraId="19840394" w14:textId="77777777" w:rsidR="00D70531" w:rsidRDefault="00672C9C">
            <w:r>
              <w:rPr>
                <w:rFonts w:ascii="Times New Roman" w:eastAsia="Times New Roman" w:hAnsi="Times New Roman"/>
                <w:sz w:val="18"/>
              </w:rPr>
              <w:t>2.782</w:t>
            </w:r>
          </w:p>
        </w:tc>
        <w:tc>
          <w:tcPr>
            <w:tcW w:w="1994" w:type="dxa"/>
          </w:tcPr>
          <w:p w14:paraId="7889FD7C" w14:textId="77777777" w:rsidR="00D70531" w:rsidRDefault="00672C9C">
            <w:r>
              <w:rPr>
                <w:rFonts w:ascii="Times New Roman" w:eastAsia="Times New Roman" w:hAnsi="Times New Roman"/>
                <w:sz w:val="18"/>
              </w:rPr>
              <w:t>3.513</w:t>
            </w:r>
          </w:p>
        </w:tc>
        <w:tc>
          <w:tcPr>
            <w:tcW w:w="1994" w:type="dxa"/>
          </w:tcPr>
          <w:p w14:paraId="60CE6B24" w14:textId="77777777" w:rsidR="00D70531" w:rsidRDefault="00672C9C">
            <w:r>
              <w:rPr>
                <w:rFonts w:ascii="Times New Roman" w:eastAsia="Times New Roman" w:hAnsi="Times New Roman"/>
                <w:sz w:val="18"/>
              </w:rPr>
              <w:t>2.079</w:t>
            </w:r>
          </w:p>
        </w:tc>
        <w:tc>
          <w:tcPr>
            <w:tcW w:w="1994" w:type="dxa"/>
          </w:tcPr>
          <w:p w14:paraId="69F12FE6" w14:textId="77777777" w:rsidR="00D70531" w:rsidRDefault="00672C9C">
            <w:r>
              <w:rPr>
                <w:rFonts w:ascii="Times New Roman" w:eastAsia="Times New Roman" w:hAnsi="Times New Roman"/>
                <w:sz w:val="18"/>
              </w:rPr>
              <w:t>2.652</w:t>
            </w:r>
          </w:p>
        </w:tc>
      </w:tr>
    </w:tbl>
    <w:p w14:paraId="5293CF25" w14:textId="77777777" w:rsidR="00D70531" w:rsidRDefault="00D70531"/>
    <w:p w14:paraId="0B7E99DC" w14:textId="77777777" w:rsidR="00D70531" w:rsidRDefault="00672C9C">
      <w:pPr>
        <w:spacing w:after="160" w:line="240" w:lineRule="auto"/>
      </w:pPr>
      <w:r>
        <w:rPr>
          <w:rFonts w:ascii="Times New Roman" w:eastAsia="Times New Roman" w:hAnsi="Times New Roman"/>
        </w:rPr>
        <w:t>Temperature features improve SARIMAX relative to the unaugmented model; holidays add a further small gain. Relative to seasonal naïve, however, even the richest SARIMAX remains about 20% worse on MAE. Covariates help within the SARIMAX family without overturning the seasonal benchmark on this horizon.</w:t>
      </w:r>
    </w:p>
    <w:p w14:paraId="2DBC2E0F" w14:textId="77777777" w:rsidR="004B56E1" w:rsidRDefault="004B56E1">
      <w:pPr>
        <w:spacing w:before="160" w:after="120"/>
        <w:rPr>
          <w:rFonts w:ascii="Times New Roman" w:eastAsia="Times New Roman" w:hAnsi="Times New Roman"/>
          <w:b/>
          <w:sz w:val="24"/>
        </w:rPr>
      </w:pPr>
    </w:p>
    <w:p w14:paraId="51AD78D9" w14:textId="77777777" w:rsidR="004B56E1" w:rsidRDefault="004B56E1">
      <w:pPr>
        <w:spacing w:before="160" w:after="120"/>
        <w:rPr>
          <w:rFonts w:ascii="Times New Roman" w:eastAsia="Times New Roman" w:hAnsi="Times New Roman"/>
          <w:b/>
          <w:sz w:val="24"/>
        </w:rPr>
      </w:pPr>
    </w:p>
    <w:p w14:paraId="6FCFF828" w14:textId="77777777" w:rsidR="004B56E1" w:rsidRDefault="004B56E1">
      <w:pPr>
        <w:spacing w:before="160" w:after="120"/>
        <w:rPr>
          <w:rFonts w:ascii="Times New Roman" w:eastAsia="Times New Roman" w:hAnsi="Times New Roman"/>
          <w:b/>
          <w:sz w:val="24"/>
        </w:rPr>
      </w:pPr>
    </w:p>
    <w:p w14:paraId="1E7883CE" w14:textId="77777777" w:rsidR="004B56E1" w:rsidRDefault="004B56E1">
      <w:pPr>
        <w:spacing w:before="160" w:after="120"/>
        <w:rPr>
          <w:rFonts w:ascii="Times New Roman" w:eastAsia="Times New Roman" w:hAnsi="Times New Roman"/>
          <w:b/>
          <w:sz w:val="24"/>
        </w:rPr>
      </w:pPr>
    </w:p>
    <w:p w14:paraId="17782B00" w14:textId="77777777" w:rsidR="004B56E1" w:rsidRDefault="004B56E1">
      <w:pPr>
        <w:spacing w:before="160" w:after="120"/>
        <w:rPr>
          <w:rFonts w:ascii="Times New Roman" w:eastAsia="Times New Roman" w:hAnsi="Times New Roman"/>
          <w:b/>
          <w:sz w:val="24"/>
        </w:rPr>
      </w:pPr>
    </w:p>
    <w:p w14:paraId="12E1311E" w14:textId="106540EB" w:rsidR="00D70531" w:rsidRDefault="00672C9C">
      <w:pPr>
        <w:spacing w:before="160" w:after="120"/>
      </w:pPr>
      <w:r>
        <w:rPr>
          <w:rFonts w:ascii="Times New Roman" w:eastAsia="Times New Roman" w:hAnsi="Times New Roman"/>
          <w:b/>
          <w:sz w:val="24"/>
        </w:rPr>
        <w:lastRenderedPageBreak/>
        <w:t>6.4 Feature-based gradient boosting</w:t>
      </w:r>
    </w:p>
    <w:p w14:paraId="6425F51B" w14:textId="77777777" w:rsidR="00D70531" w:rsidRDefault="00672C9C">
      <w:pPr>
        <w:spacing w:before="120" w:after="40"/>
        <w:jc w:val="center"/>
      </w:pPr>
      <w:r>
        <w:rPr>
          <w:noProof/>
        </w:rPr>
        <w:drawing>
          <wp:inline distT="0" distB="0" distL="0" distR="0" wp14:anchorId="58F7DA24" wp14:editId="377882AD">
            <wp:extent cx="5212080" cy="2207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weekly_model_comparison.png"/>
                    <pic:cNvPicPr/>
                  </pic:nvPicPr>
                  <pic:blipFill>
                    <a:blip r:embed="rId13"/>
                    <a:stretch>
                      <a:fillRect/>
                    </a:stretch>
                  </pic:blipFill>
                  <pic:spPr>
                    <a:xfrm>
                      <a:off x="0" y="0"/>
                      <a:ext cx="5212080" cy="2207999"/>
                    </a:xfrm>
                    <a:prstGeom prst="rect">
                      <a:avLst/>
                    </a:prstGeom>
                  </pic:spPr>
                </pic:pic>
              </a:graphicData>
            </a:graphic>
          </wp:inline>
        </w:drawing>
      </w:r>
    </w:p>
    <w:p w14:paraId="1F390944" w14:textId="77777777" w:rsidR="00D70531" w:rsidRDefault="00672C9C">
      <w:pPr>
        <w:jc w:val="center"/>
      </w:pPr>
      <w:r>
        <w:rPr>
          <w:rFonts w:ascii="Times New Roman" w:eastAsia="Times New Roman" w:hAnsi="Times New Roman"/>
          <w:i/>
          <w:sz w:val="20"/>
        </w:rPr>
        <w:t>Figure 8. Weekly comparison of seasonal naïve and the feature-based model against actual load.</w:t>
      </w:r>
    </w:p>
    <w:p w14:paraId="6A25443A" w14:textId="77777777" w:rsidR="00D70531" w:rsidRDefault="00672C9C">
      <w:pPr>
        <w:spacing w:after="160" w:line="240" w:lineRule="auto"/>
      </w:pPr>
      <w:r>
        <w:rPr>
          <w:rFonts w:ascii="Times New Roman" w:eastAsia="Times New Roman" w:hAnsi="Times New Roman"/>
        </w:rPr>
        <w:t>The gradient boosting model achieves MAE 2.219 GW, RMSE 2.962, MASE 1.658 and bias 1.638. It is the only weekly method that improves on seasonal naïve (about 4.3% lower MAE). The gain is modest, which is informative: when annual seasonality is stable, tree ensembles mainly refine residual seasonal and weather-driven fluctuations rather than rewriting the yearly template.</w:t>
      </w:r>
    </w:p>
    <w:p w14:paraId="32B74CB3" w14:textId="77777777" w:rsidR="00D70531" w:rsidRDefault="00672C9C">
      <w:pPr>
        <w:spacing w:before="160" w:after="120"/>
      </w:pPr>
      <w:r>
        <w:rPr>
          <w:rFonts w:ascii="Times New Roman" w:eastAsia="Times New Roman" w:hAnsi="Times New Roman"/>
          <w:b/>
          <w:sz w:val="24"/>
        </w:rPr>
        <w:t>6.5 LSTM hourly forecasts</w:t>
      </w:r>
    </w:p>
    <w:p w14:paraId="3D062A85" w14:textId="77777777" w:rsidR="00D70531" w:rsidRDefault="00672C9C">
      <w:pPr>
        <w:spacing w:before="120" w:after="40"/>
        <w:jc w:val="center"/>
      </w:pPr>
      <w:r>
        <w:rPr>
          <w:noProof/>
        </w:rPr>
        <w:drawing>
          <wp:inline distT="0" distB="0" distL="0" distR="0" wp14:anchorId="2539FA65" wp14:editId="3C47BC79">
            <wp:extent cx="5212080" cy="18307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stm_hourly_forecast.png"/>
                    <pic:cNvPicPr/>
                  </pic:nvPicPr>
                  <pic:blipFill>
                    <a:blip r:embed="rId14"/>
                    <a:stretch>
                      <a:fillRect/>
                    </a:stretch>
                  </pic:blipFill>
                  <pic:spPr>
                    <a:xfrm>
                      <a:off x="0" y="0"/>
                      <a:ext cx="5212080" cy="1830731"/>
                    </a:xfrm>
                    <a:prstGeom prst="rect">
                      <a:avLst/>
                    </a:prstGeom>
                  </pic:spPr>
                </pic:pic>
              </a:graphicData>
            </a:graphic>
          </wp:inline>
        </w:drawing>
      </w:r>
    </w:p>
    <w:p w14:paraId="309A12B3" w14:textId="77777777" w:rsidR="00D70531" w:rsidRDefault="00672C9C">
      <w:pPr>
        <w:jc w:val="center"/>
      </w:pPr>
      <w:r>
        <w:rPr>
          <w:rFonts w:ascii="Times New Roman" w:eastAsia="Times New Roman" w:hAnsi="Times New Roman"/>
          <w:i/>
          <w:sz w:val="20"/>
        </w:rPr>
        <w:t>Figure 9. LSTM versus hourly seasonal naïve — first four weeks of the test period.</w:t>
      </w:r>
    </w:p>
    <w:p w14:paraId="21CC2376" w14:textId="77777777" w:rsidR="00D70531" w:rsidRDefault="00672C9C">
      <w:pPr>
        <w:spacing w:before="120" w:after="40"/>
        <w:jc w:val="center"/>
      </w:pPr>
      <w:r>
        <w:rPr>
          <w:noProof/>
        </w:rPr>
        <w:drawing>
          <wp:inline distT="0" distB="0" distL="0" distR="0" wp14:anchorId="2716483F" wp14:editId="1CDE6E02">
            <wp:extent cx="5029200" cy="17664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lstm_weekly_aggregated.png"/>
                    <pic:cNvPicPr/>
                  </pic:nvPicPr>
                  <pic:blipFill>
                    <a:blip r:embed="rId15"/>
                    <a:stretch>
                      <a:fillRect/>
                    </a:stretch>
                  </pic:blipFill>
                  <pic:spPr>
                    <a:xfrm>
                      <a:off x="0" y="0"/>
                      <a:ext cx="5029200" cy="1766494"/>
                    </a:xfrm>
                    <a:prstGeom prst="rect">
                      <a:avLst/>
                    </a:prstGeom>
                  </pic:spPr>
                </pic:pic>
              </a:graphicData>
            </a:graphic>
          </wp:inline>
        </w:drawing>
      </w:r>
    </w:p>
    <w:p w14:paraId="2F7935D1" w14:textId="77777777" w:rsidR="00D70531" w:rsidRDefault="00672C9C">
      <w:pPr>
        <w:jc w:val="center"/>
      </w:pPr>
      <w:r>
        <w:rPr>
          <w:rFonts w:ascii="Times New Roman" w:eastAsia="Times New Roman" w:hAnsi="Times New Roman"/>
          <w:i/>
          <w:sz w:val="20"/>
        </w:rPr>
        <w:t>Figure 10. LSTM hourly forecasts aggregated to weekly means.</w:t>
      </w:r>
    </w:p>
    <w:tbl>
      <w:tblPr>
        <w:tblStyle w:val="TableGrid"/>
        <w:tblW w:w="0" w:type="auto"/>
        <w:tblLook w:val="04A0" w:firstRow="1" w:lastRow="0" w:firstColumn="1" w:lastColumn="0" w:noHBand="0" w:noVBand="1"/>
      </w:tblPr>
      <w:tblGrid>
        <w:gridCol w:w="1994"/>
        <w:gridCol w:w="1992"/>
        <w:gridCol w:w="1992"/>
        <w:gridCol w:w="1992"/>
        <w:gridCol w:w="1992"/>
      </w:tblGrid>
      <w:tr w:rsidR="00D70531" w14:paraId="30C33C89" w14:textId="77777777">
        <w:tc>
          <w:tcPr>
            <w:tcW w:w="1994" w:type="dxa"/>
          </w:tcPr>
          <w:p w14:paraId="5812657F" w14:textId="77777777" w:rsidR="00D70531" w:rsidRDefault="00672C9C">
            <w:r>
              <w:rPr>
                <w:rFonts w:ascii="Times New Roman" w:eastAsia="Times New Roman" w:hAnsi="Times New Roman"/>
                <w:b/>
                <w:sz w:val="18"/>
              </w:rPr>
              <w:t>Model</w:t>
            </w:r>
          </w:p>
        </w:tc>
        <w:tc>
          <w:tcPr>
            <w:tcW w:w="1994" w:type="dxa"/>
          </w:tcPr>
          <w:p w14:paraId="54CC996B" w14:textId="77777777" w:rsidR="00D70531" w:rsidRDefault="00672C9C">
            <w:r>
              <w:rPr>
                <w:rFonts w:ascii="Times New Roman" w:eastAsia="Times New Roman" w:hAnsi="Times New Roman"/>
                <w:b/>
                <w:sz w:val="18"/>
              </w:rPr>
              <w:t>MAE (MW)</w:t>
            </w:r>
          </w:p>
        </w:tc>
        <w:tc>
          <w:tcPr>
            <w:tcW w:w="1994" w:type="dxa"/>
          </w:tcPr>
          <w:p w14:paraId="4826875F" w14:textId="77777777" w:rsidR="00D70531" w:rsidRDefault="00672C9C">
            <w:r>
              <w:rPr>
                <w:rFonts w:ascii="Times New Roman" w:eastAsia="Times New Roman" w:hAnsi="Times New Roman"/>
                <w:b/>
                <w:sz w:val="18"/>
              </w:rPr>
              <w:t>RMSE (MW)</w:t>
            </w:r>
          </w:p>
        </w:tc>
        <w:tc>
          <w:tcPr>
            <w:tcW w:w="1994" w:type="dxa"/>
          </w:tcPr>
          <w:p w14:paraId="092417C3" w14:textId="77777777" w:rsidR="00D70531" w:rsidRDefault="00672C9C">
            <w:r>
              <w:rPr>
                <w:rFonts w:ascii="Times New Roman" w:eastAsia="Times New Roman" w:hAnsi="Times New Roman"/>
                <w:b/>
                <w:sz w:val="18"/>
              </w:rPr>
              <w:t>MASE</w:t>
            </w:r>
          </w:p>
        </w:tc>
        <w:tc>
          <w:tcPr>
            <w:tcW w:w="1994" w:type="dxa"/>
          </w:tcPr>
          <w:p w14:paraId="48B05BEC" w14:textId="77777777" w:rsidR="00D70531" w:rsidRDefault="00672C9C">
            <w:r>
              <w:rPr>
                <w:rFonts w:ascii="Times New Roman" w:eastAsia="Times New Roman" w:hAnsi="Times New Roman"/>
                <w:b/>
                <w:sz w:val="18"/>
              </w:rPr>
              <w:t>Bias</w:t>
            </w:r>
          </w:p>
        </w:tc>
      </w:tr>
      <w:tr w:rsidR="00D70531" w14:paraId="79BEC7E7" w14:textId="77777777">
        <w:tc>
          <w:tcPr>
            <w:tcW w:w="1994" w:type="dxa"/>
          </w:tcPr>
          <w:p w14:paraId="4CF61867" w14:textId="77777777" w:rsidR="00D70531" w:rsidRDefault="00672C9C">
            <w:r>
              <w:rPr>
                <w:rFonts w:ascii="Times New Roman" w:eastAsia="Times New Roman" w:hAnsi="Times New Roman"/>
                <w:sz w:val="18"/>
              </w:rPr>
              <w:t>Hourly seasonal naïve (s=168h)</w:t>
            </w:r>
          </w:p>
        </w:tc>
        <w:tc>
          <w:tcPr>
            <w:tcW w:w="1994" w:type="dxa"/>
          </w:tcPr>
          <w:p w14:paraId="18130FF2" w14:textId="77777777" w:rsidR="00D70531" w:rsidRDefault="00672C9C">
            <w:r>
              <w:rPr>
                <w:rFonts w:ascii="Times New Roman" w:eastAsia="Times New Roman" w:hAnsi="Times New Roman"/>
                <w:sz w:val="18"/>
              </w:rPr>
              <w:t>5,133</w:t>
            </w:r>
          </w:p>
        </w:tc>
        <w:tc>
          <w:tcPr>
            <w:tcW w:w="1994" w:type="dxa"/>
          </w:tcPr>
          <w:p w14:paraId="2E57794D" w14:textId="77777777" w:rsidR="00D70531" w:rsidRDefault="00672C9C">
            <w:r>
              <w:rPr>
                <w:rFonts w:ascii="Times New Roman" w:eastAsia="Times New Roman" w:hAnsi="Times New Roman"/>
                <w:sz w:val="18"/>
              </w:rPr>
              <w:t>6,736</w:t>
            </w:r>
          </w:p>
        </w:tc>
        <w:tc>
          <w:tcPr>
            <w:tcW w:w="1994" w:type="dxa"/>
          </w:tcPr>
          <w:p w14:paraId="6CD55643" w14:textId="77777777" w:rsidR="00D70531" w:rsidRDefault="00672C9C">
            <w:r>
              <w:rPr>
                <w:rFonts w:ascii="Times New Roman" w:eastAsia="Times New Roman" w:hAnsi="Times New Roman"/>
                <w:sz w:val="18"/>
              </w:rPr>
              <w:t>2.224</w:t>
            </w:r>
          </w:p>
        </w:tc>
        <w:tc>
          <w:tcPr>
            <w:tcW w:w="1994" w:type="dxa"/>
          </w:tcPr>
          <w:p w14:paraId="4F5B39A1" w14:textId="77777777" w:rsidR="00D70531" w:rsidRDefault="00672C9C">
            <w:r>
              <w:rPr>
                <w:rFonts w:ascii="Times New Roman" w:eastAsia="Times New Roman" w:hAnsi="Times New Roman"/>
                <w:sz w:val="18"/>
              </w:rPr>
              <w:t>−293</w:t>
            </w:r>
          </w:p>
        </w:tc>
      </w:tr>
      <w:tr w:rsidR="00D70531" w14:paraId="20EF1CA2" w14:textId="77777777">
        <w:tc>
          <w:tcPr>
            <w:tcW w:w="1994" w:type="dxa"/>
          </w:tcPr>
          <w:p w14:paraId="2707D0C5" w14:textId="77777777" w:rsidR="00D70531" w:rsidRDefault="00672C9C">
            <w:r>
              <w:rPr>
                <w:rFonts w:ascii="Times New Roman" w:eastAsia="Times New Roman" w:hAnsi="Times New Roman"/>
                <w:sz w:val="18"/>
              </w:rPr>
              <w:t>LSTM</w:t>
            </w:r>
          </w:p>
        </w:tc>
        <w:tc>
          <w:tcPr>
            <w:tcW w:w="1994" w:type="dxa"/>
          </w:tcPr>
          <w:p w14:paraId="71E0E61D" w14:textId="77777777" w:rsidR="00D70531" w:rsidRDefault="00672C9C">
            <w:r>
              <w:rPr>
                <w:rFonts w:ascii="Times New Roman" w:eastAsia="Times New Roman" w:hAnsi="Times New Roman"/>
                <w:sz w:val="18"/>
              </w:rPr>
              <w:t>11,277</w:t>
            </w:r>
          </w:p>
        </w:tc>
        <w:tc>
          <w:tcPr>
            <w:tcW w:w="1994" w:type="dxa"/>
          </w:tcPr>
          <w:p w14:paraId="5BE8CA7D" w14:textId="77777777" w:rsidR="00D70531" w:rsidRDefault="00672C9C">
            <w:r>
              <w:rPr>
                <w:rFonts w:ascii="Times New Roman" w:eastAsia="Times New Roman" w:hAnsi="Times New Roman"/>
                <w:sz w:val="18"/>
              </w:rPr>
              <w:t>13,770</w:t>
            </w:r>
          </w:p>
        </w:tc>
        <w:tc>
          <w:tcPr>
            <w:tcW w:w="1994" w:type="dxa"/>
          </w:tcPr>
          <w:p w14:paraId="0CAD033E" w14:textId="77777777" w:rsidR="00D70531" w:rsidRDefault="00672C9C">
            <w:r>
              <w:rPr>
                <w:rFonts w:ascii="Times New Roman" w:eastAsia="Times New Roman" w:hAnsi="Times New Roman"/>
                <w:sz w:val="18"/>
              </w:rPr>
              <w:t>4.886</w:t>
            </w:r>
          </w:p>
        </w:tc>
        <w:tc>
          <w:tcPr>
            <w:tcW w:w="1994" w:type="dxa"/>
          </w:tcPr>
          <w:p w14:paraId="64620F3A" w14:textId="77777777" w:rsidR="00D70531" w:rsidRDefault="00672C9C">
            <w:r>
              <w:rPr>
                <w:rFonts w:ascii="Times New Roman" w:eastAsia="Times New Roman" w:hAnsi="Times New Roman"/>
                <w:sz w:val="18"/>
              </w:rPr>
              <w:t>+5,191</w:t>
            </w:r>
          </w:p>
        </w:tc>
      </w:tr>
    </w:tbl>
    <w:p w14:paraId="102A304C" w14:textId="77777777" w:rsidR="00D70531" w:rsidRDefault="00D70531"/>
    <w:p w14:paraId="3D8B84FD" w14:textId="77777777" w:rsidR="00D70531" w:rsidRDefault="00672C9C">
      <w:pPr>
        <w:spacing w:after="160" w:line="240" w:lineRule="auto"/>
      </w:pPr>
      <w:r>
        <w:rPr>
          <w:rFonts w:ascii="Times New Roman" w:eastAsia="Times New Roman" w:hAnsi="Times New Roman"/>
        </w:rPr>
        <w:lastRenderedPageBreak/>
        <w:t>Validation favoured seq_len = 168 with units = 32. Recursive forecasting over ≈17,500 hours compounds one-step errors; the LSTM overshoots systematically and fails to beat a lag-of-one-week hourly rule. Weekly aggregation (Figure 10) does not reverse that conclusion.</w:t>
      </w:r>
    </w:p>
    <w:p w14:paraId="2C79AC49" w14:textId="77777777" w:rsidR="00D70531" w:rsidRDefault="00672C9C">
      <w:pPr>
        <w:spacing w:before="160" w:after="120"/>
      </w:pPr>
      <w:r>
        <w:rPr>
          <w:rFonts w:ascii="Times New Roman" w:eastAsia="Times New Roman" w:hAnsi="Times New Roman"/>
          <w:b/>
          <w:sz w:val="24"/>
        </w:rPr>
        <w:t>6.6 Combined weekly evaluation table</w:t>
      </w:r>
    </w:p>
    <w:tbl>
      <w:tblPr>
        <w:tblStyle w:val="TableGrid"/>
        <w:tblW w:w="0" w:type="auto"/>
        <w:tblLook w:val="04A0" w:firstRow="1" w:lastRow="0" w:firstColumn="1" w:lastColumn="0" w:noHBand="0" w:noVBand="1"/>
      </w:tblPr>
      <w:tblGrid>
        <w:gridCol w:w="1661"/>
        <w:gridCol w:w="1661"/>
        <w:gridCol w:w="1660"/>
        <w:gridCol w:w="1660"/>
        <w:gridCol w:w="1660"/>
        <w:gridCol w:w="1660"/>
      </w:tblGrid>
      <w:tr w:rsidR="00D70531" w14:paraId="534226EC" w14:textId="77777777">
        <w:tc>
          <w:tcPr>
            <w:tcW w:w="1662" w:type="dxa"/>
          </w:tcPr>
          <w:p w14:paraId="52D34635" w14:textId="77777777" w:rsidR="00D70531" w:rsidRDefault="00672C9C">
            <w:r>
              <w:rPr>
                <w:rFonts w:ascii="Times New Roman" w:eastAsia="Times New Roman" w:hAnsi="Times New Roman"/>
                <w:b/>
                <w:sz w:val="18"/>
              </w:rPr>
              <w:t>Rank</w:t>
            </w:r>
          </w:p>
        </w:tc>
        <w:tc>
          <w:tcPr>
            <w:tcW w:w="1662" w:type="dxa"/>
          </w:tcPr>
          <w:p w14:paraId="0E39495B" w14:textId="77777777" w:rsidR="00D70531" w:rsidRDefault="00672C9C">
            <w:r>
              <w:rPr>
                <w:rFonts w:ascii="Times New Roman" w:eastAsia="Times New Roman" w:hAnsi="Times New Roman"/>
                <w:b/>
                <w:sz w:val="18"/>
              </w:rPr>
              <w:t>Model</w:t>
            </w:r>
          </w:p>
        </w:tc>
        <w:tc>
          <w:tcPr>
            <w:tcW w:w="1662" w:type="dxa"/>
          </w:tcPr>
          <w:p w14:paraId="46BFE354" w14:textId="77777777" w:rsidR="00D70531" w:rsidRDefault="00672C9C">
            <w:r>
              <w:rPr>
                <w:rFonts w:ascii="Times New Roman" w:eastAsia="Times New Roman" w:hAnsi="Times New Roman"/>
                <w:b/>
                <w:sz w:val="18"/>
              </w:rPr>
              <w:t>MAE</w:t>
            </w:r>
          </w:p>
        </w:tc>
        <w:tc>
          <w:tcPr>
            <w:tcW w:w="1662" w:type="dxa"/>
          </w:tcPr>
          <w:p w14:paraId="4A80DAFE" w14:textId="77777777" w:rsidR="00D70531" w:rsidRDefault="00672C9C">
            <w:r>
              <w:rPr>
                <w:rFonts w:ascii="Times New Roman" w:eastAsia="Times New Roman" w:hAnsi="Times New Roman"/>
                <w:b/>
                <w:sz w:val="18"/>
              </w:rPr>
              <w:t>RMSE</w:t>
            </w:r>
          </w:p>
        </w:tc>
        <w:tc>
          <w:tcPr>
            <w:tcW w:w="1662" w:type="dxa"/>
          </w:tcPr>
          <w:p w14:paraId="4C5E1512" w14:textId="77777777" w:rsidR="00D70531" w:rsidRDefault="00672C9C">
            <w:r>
              <w:rPr>
                <w:rFonts w:ascii="Times New Roman" w:eastAsia="Times New Roman" w:hAnsi="Times New Roman"/>
                <w:b/>
                <w:sz w:val="18"/>
              </w:rPr>
              <w:t>MASE</w:t>
            </w:r>
          </w:p>
        </w:tc>
        <w:tc>
          <w:tcPr>
            <w:tcW w:w="1662" w:type="dxa"/>
          </w:tcPr>
          <w:p w14:paraId="505B225D" w14:textId="77777777" w:rsidR="00D70531" w:rsidRDefault="00672C9C">
            <w:r>
              <w:rPr>
                <w:rFonts w:ascii="Times New Roman" w:eastAsia="Times New Roman" w:hAnsi="Times New Roman"/>
                <w:b/>
                <w:sz w:val="18"/>
              </w:rPr>
              <w:t>Bias</w:t>
            </w:r>
          </w:p>
        </w:tc>
      </w:tr>
      <w:tr w:rsidR="00D70531" w14:paraId="6E0D3225" w14:textId="77777777">
        <w:tc>
          <w:tcPr>
            <w:tcW w:w="1662" w:type="dxa"/>
          </w:tcPr>
          <w:p w14:paraId="2BDBFD1C" w14:textId="77777777" w:rsidR="00D70531" w:rsidRDefault="00672C9C">
            <w:r>
              <w:rPr>
                <w:rFonts w:ascii="Times New Roman" w:eastAsia="Times New Roman" w:hAnsi="Times New Roman"/>
                <w:sz w:val="18"/>
              </w:rPr>
              <w:t>1</w:t>
            </w:r>
          </w:p>
        </w:tc>
        <w:tc>
          <w:tcPr>
            <w:tcW w:w="1662" w:type="dxa"/>
          </w:tcPr>
          <w:p w14:paraId="3189D8B0" w14:textId="77777777" w:rsidR="00D70531" w:rsidRDefault="00672C9C">
            <w:r>
              <w:rPr>
                <w:rFonts w:ascii="Times New Roman" w:eastAsia="Times New Roman" w:hAnsi="Times New Roman"/>
                <w:sz w:val="18"/>
              </w:rPr>
              <w:t>Feature model (GBR)</w:t>
            </w:r>
          </w:p>
        </w:tc>
        <w:tc>
          <w:tcPr>
            <w:tcW w:w="1662" w:type="dxa"/>
          </w:tcPr>
          <w:p w14:paraId="104AB6A6" w14:textId="77777777" w:rsidR="00D70531" w:rsidRDefault="00672C9C">
            <w:r>
              <w:rPr>
                <w:rFonts w:ascii="Times New Roman" w:eastAsia="Times New Roman" w:hAnsi="Times New Roman"/>
                <w:sz w:val="18"/>
              </w:rPr>
              <w:t>2.219</w:t>
            </w:r>
          </w:p>
        </w:tc>
        <w:tc>
          <w:tcPr>
            <w:tcW w:w="1662" w:type="dxa"/>
          </w:tcPr>
          <w:p w14:paraId="1D4DC890" w14:textId="77777777" w:rsidR="00D70531" w:rsidRDefault="00672C9C">
            <w:r>
              <w:rPr>
                <w:rFonts w:ascii="Times New Roman" w:eastAsia="Times New Roman" w:hAnsi="Times New Roman"/>
                <w:sz w:val="18"/>
              </w:rPr>
              <w:t>2.962</w:t>
            </w:r>
          </w:p>
        </w:tc>
        <w:tc>
          <w:tcPr>
            <w:tcW w:w="1662" w:type="dxa"/>
          </w:tcPr>
          <w:p w14:paraId="4C13F003" w14:textId="77777777" w:rsidR="00D70531" w:rsidRDefault="00672C9C">
            <w:r>
              <w:rPr>
                <w:rFonts w:ascii="Times New Roman" w:eastAsia="Times New Roman" w:hAnsi="Times New Roman"/>
                <w:sz w:val="18"/>
              </w:rPr>
              <w:t>1.658</w:t>
            </w:r>
          </w:p>
        </w:tc>
        <w:tc>
          <w:tcPr>
            <w:tcW w:w="1662" w:type="dxa"/>
          </w:tcPr>
          <w:p w14:paraId="33EB89AB" w14:textId="77777777" w:rsidR="00D70531" w:rsidRDefault="00672C9C">
            <w:r>
              <w:rPr>
                <w:rFonts w:ascii="Times New Roman" w:eastAsia="Times New Roman" w:hAnsi="Times New Roman"/>
                <w:sz w:val="18"/>
              </w:rPr>
              <w:t>1.638</w:t>
            </w:r>
          </w:p>
        </w:tc>
      </w:tr>
      <w:tr w:rsidR="00D70531" w14:paraId="7D6202A3" w14:textId="77777777">
        <w:tc>
          <w:tcPr>
            <w:tcW w:w="1662" w:type="dxa"/>
          </w:tcPr>
          <w:p w14:paraId="0B49AB28" w14:textId="77777777" w:rsidR="00D70531" w:rsidRDefault="00672C9C">
            <w:r>
              <w:rPr>
                <w:rFonts w:ascii="Times New Roman" w:eastAsia="Times New Roman" w:hAnsi="Times New Roman"/>
                <w:sz w:val="18"/>
              </w:rPr>
              <w:t>2</w:t>
            </w:r>
          </w:p>
        </w:tc>
        <w:tc>
          <w:tcPr>
            <w:tcW w:w="1662" w:type="dxa"/>
          </w:tcPr>
          <w:p w14:paraId="2437DECC" w14:textId="77777777" w:rsidR="00D70531" w:rsidRDefault="00672C9C">
            <w:r>
              <w:rPr>
                <w:rFonts w:ascii="Times New Roman" w:eastAsia="Times New Roman" w:hAnsi="Times New Roman"/>
                <w:sz w:val="18"/>
              </w:rPr>
              <w:t>Seasonal naïve</w:t>
            </w:r>
          </w:p>
        </w:tc>
        <w:tc>
          <w:tcPr>
            <w:tcW w:w="1662" w:type="dxa"/>
          </w:tcPr>
          <w:p w14:paraId="0E6AF39B" w14:textId="77777777" w:rsidR="00D70531" w:rsidRDefault="00672C9C">
            <w:r>
              <w:rPr>
                <w:rFonts w:ascii="Times New Roman" w:eastAsia="Times New Roman" w:hAnsi="Times New Roman"/>
                <w:sz w:val="18"/>
              </w:rPr>
              <w:t>2.319</w:t>
            </w:r>
          </w:p>
        </w:tc>
        <w:tc>
          <w:tcPr>
            <w:tcW w:w="1662" w:type="dxa"/>
          </w:tcPr>
          <w:p w14:paraId="38103D54" w14:textId="77777777" w:rsidR="00D70531" w:rsidRDefault="00672C9C">
            <w:r>
              <w:rPr>
                <w:rFonts w:ascii="Times New Roman" w:eastAsia="Times New Roman" w:hAnsi="Times New Roman"/>
                <w:sz w:val="18"/>
              </w:rPr>
              <w:t>3.007</w:t>
            </w:r>
          </w:p>
        </w:tc>
        <w:tc>
          <w:tcPr>
            <w:tcW w:w="1662" w:type="dxa"/>
          </w:tcPr>
          <w:p w14:paraId="620D85F2" w14:textId="77777777" w:rsidR="00D70531" w:rsidRDefault="00672C9C">
            <w:r>
              <w:rPr>
                <w:rFonts w:ascii="Times New Roman" w:eastAsia="Times New Roman" w:hAnsi="Times New Roman"/>
                <w:sz w:val="18"/>
              </w:rPr>
              <w:t>1.732</w:t>
            </w:r>
          </w:p>
        </w:tc>
        <w:tc>
          <w:tcPr>
            <w:tcW w:w="1662" w:type="dxa"/>
          </w:tcPr>
          <w:p w14:paraId="3BD88B3A" w14:textId="77777777" w:rsidR="00D70531" w:rsidRDefault="00672C9C">
            <w:r>
              <w:rPr>
                <w:rFonts w:ascii="Times New Roman" w:eastAsia="Times New Roman" w:hAnsi="Times New Roman"/>
                <w:sz w:val="18"/>
              </w:rPr>
              <w:t>1.732</w:t>
            </w:r>
          </w:p>
        </w:tc>
      </w:tr>
      <w:tr w:rsidR="00D70531" w14:paraId="00FFA1E4" w14:textId="77777777">
        <w:tc>
          <w:tcPr>
            <w:tcW w:w="1662" w:type="dxa"/>
          </w:tcPr>
          <w:p w14:paraId="340C2DDD" w14:textId="77777777" w:rsidR="00D70531" w:rsidRDefault="00672C9C">
            <w:r>
              <w:rPr>
                <w:rFonts w:ascii="Times New Roman" w:eastAsia="Times New Roman" w:hAnsi="Times New Roman"/>
                <w:sz w:val="18"/>
              </w:rPr>
              <w:t>3</w:t>
            </w:r>
          </w:p>
        </w:tc>
        <w:tc>
          <w:tcPr>
            <w:tcW w:w="1662" w:type="dxa"/>
          </w:tcPr>
          <w:p w14:paraId="52483A7F" w14:textId="77777777" w:rsidR="00D70531" w:rsidRDefault="00672C9C">
            <w:r>
              <w:rPr>
                <w:rFonts w:ascii="Times New Roman" w:eastAsia="Times New Roman" w:hAnsi="Times New Roman"/>
                <w:sz w:val="18"/>
              </w:rPr>
              <w:t>SARIMAX (temp + holidays)</w:t>
            </w:r>
          </w:p>
        </w:tc>
        <w:tc>
          <w:tcPr>
            <w:tcW w:w="1662" w:type="dxa"/>
          </w:tcPr>
          <w:p w14:paraId="37F8F15B" w14:textId="77777777" w:rsidR="00D70531" w:rsidRDefault="00672C9C">
            <w:r>
              <w:rPr>
                <w:rFonts w:ascii="Times New Roman" w:eastAsia="Times New Roman" w:hAnsi="Times New Roman"/>
                <w:sz w:val="18"/>
              </w:rPr>
              <w:t>2.782</w:t>
            </w:r>
          </w:p>
        </w:tc>
        <w:tc>
          <w:tcPr>
            <w:tcW w:w="1662" w:type="dxa"/>
          </w:tcPr>
          <w:p w14:paraId="644FF404" w14:textId="77777777" w:rsidR="00D70531" w:rsidRDefault="00672C9C">
            <w:r>
              <w:rPr>
                <w:rFonts w:ascii="Times New Roman" w:eastAsia="Times New Roman" w:hAnsi="Times New Roman"/>
                <w:sz w:val="18"/>
              </w:rPr>
              <w:t>3.513</w:t>
            </w:r>
          </w:p>
        </w:tc>
        <w:tc>
          <w:tcPr>
            <w:tcW w:w="1662" w:type="dxa"/>
          </w:tcPr>
          <w:p w14:paraId="6A5133FD" w14:textId="77777777" w:rsidR="00D70531" w:rsidRDefault="00672C9C">
            <w:r>
              <w:rPr>
                <w:rFonts w:ascii="Times New Roman" w:eastAsia="Times New Roman" w:hAnsi="Times New Roman"/>
                <w:sz w:val="18"/>
              </w:rPr>
              <w:t>2.079</w:t>
            </w:r>
          </w:p>
        </w:tc>
        <w:tc>
          <w:tcPr>
            <w:tcW w:w="1662" w:type="dxa"/>
          </w:tcPr>
          <w:p w14:paraId="48445863" w14:textId="77777777" w:rsidR="00D70531" w:rsidRDefault="00672C9C">
            <w:r>
              <w:rPr>
                <w:rFonts w:ascii="Times New Roman" w:eastAsia="Times New Roman" w:hAnsi="Times New Roman"/>
                <w:sz w:val="18"/>
              </w:rPr>
              <w:t>2.652</w:t>
            </w:r>
          </w:p>
        </w:tc>
      </w:tr>
      <w:tr w:rsidR="00D70531" w14:paraId="04FBDDEA" w14:textId="77777777">
        <w:tc>
          <w:tcPr>
            <w:tcW w:w="1662" w:type="dxa"/>
          </w:tcPr>
          <w:p w14:paraId="69F245B9" w14:textId="77777777" w:rsidR="00D70531" w:rsidRDefault="00672C9C">
            <w:r>
              <w:rPr>
                <w:rFonts w:ascii="Times New Roman" w:eastAsia="Times New Roman" w:hAnsi="Times New Roman"/>
                <w:sz w:val="18"/>
              </w:rPr>
              <w:t>4</w:t>
            </w:r>
          </w:p>
        </w:tc>
        <w:tc>
          <w:tcPr>
            <w:tcW w:w="1662" w:type="dxa"/>
          </w:tcPr>
          <w:p w14:paraId="0E69B642" w14:textId="77777777" w:rsidR="00D70531" w:rsidRDefault="00672C9C">
            <w:r>
              <w:rPr>
                <w:rFonts w:ascii="Times New Roman" w:eastAsia="Times New Roman" w:hAnsi="Times New Roman"/>
                <w:sz w:val="18"/>
              </w:rPr>
              <w:t>SARIMAX (temp)</w:t>
            </w:r>
          </w:p>
        </w:tc>
        <w:tc>
          <w:tcPr>
            <w:tcW w:w="1662" w:type="dxa"/>
          </w:tcPr>
          <w:p w14:paraId="0881BE13" w14:textId="77777777" w:rsidR="00D70531" w:rsidRDefault="00672C9C">
            <w:r>
              <w:rPr>
                <w:rFonts w:ascii="Times New Roman" w:eastAsia="Times New Roman" w:hAnsi="Times New Roman"/>
                <w:sz w:val="18"/>
              </w:rPr>
              <w:t>2.802</w:t>
            </w:r>
          </w:p>
        </w:tc>
        <w:tc>
          <w:tcPr>
            <w:tcW w:w="1662" w:type="dxa"/>
          </w:tcPr>
          <w:p w14:paraId="746585F0" w14:textId="77777777" w:rsidR="00D70531" w:rsidRDefault="00672C9C">
            <w:r>
              <w:rPr>
                <w:rFonts w:ascii="Times New Roman" w:eastAsia="Times New Roman" w:hAnsi="Times New Roman"/>
                <w:sz w:val="18"/>
              </w:rPr>
              <w:t>3.589</w:t>
            </w:r>
          </w:p>
        </w:tc>
        <w:tc>
          <w:tcPr>
            <w:tcW w:w="1662" w:type="dxa"/>
          </w:tcPr>
          <w:p w14:paraId="75D03A60" w14:textId="77777777" w:rsidR="00D70531" w:rsidRDefault="00672C9C">
            <w:r>
              <w:rPr>
                <w:rFonts w:ascii="Times New Roman" w:eastAsia="Times New Roman" w:hAnsi="Times New Roman"/>
                <w:sz w:val="18"/>
              </w:rPr>
              <w:t>2.094</w:t>
            </w:r>
          </w:p>
        </w:tc>
        <w:tc>
          <w:tcPr>
            <w:tcW w:w="1662" w:type="dxa"/>
          </w:tcPr>
          <w:p w14:paraId="505C6E2F" w14:textId="77777777" w:rsidR="00D70531" w:rsidRDefault="00672C9C">
            <w:r>
              <w:rPr>
                <w:rFonts w:ascii="Times New Roman" w:eastAsia="Times New Roman" w:hAnsi="Times New Roman"/>
                <w:sz w:val="18"/>
              </w:rPr>
              <w:t>2.580</w:t>
            </w:r>
          </w:p>
        </w:tc>
      </w:tr>
      <w:tr w:rsidR="00D70531" w14:paraId="249A5D9A" w14:textId="77777777">
        <w:tc>
          <w:tcPr>
            <w:tcW w:w="1662" w:type="dxa"/>
          </w:tcPr>
          <w:p w14:paraId="4D7D0F82" w14:textId="77777777" w:rsidR="00D70531" w:rsidRDefault="00672C9C">
            <w:r>
              <w:rPr>
                <w:rFonts w:ascii="Times New Roman" w:eastAsia="Times New Roman" w:hAnsi="Times New Roman"/>
                <w:sz w:val="18"/>
              </w:rPr>
              <w:t>5</w:t>
            </w:r>
          </w:p>
        </w:tc>
        <w:tc>
          <w:tcPr>
            <w:tcW w:w="1662" w:type="dxa"/>
          </w:tcPr>
          <w:p w14:paraId="51C8BC3A" w14:textId="77777777" w:rsidR="00D70531" w:rsidRDefault="00672C9C">
            <w:r>
              <w:rPr>
                <w:rFonts w:ascii="Times New Roman" w:eastAsia="Times New Roman" w:hAnsi="Times New Roman"/>
                <w:sz w:val="18"/>
              </w:rPr>
              <w:t>SARIMA / no-exog SARIMAX</w:t>
            </w:r>
          </w:p>
        </w:tc>
        <w:tc>
          <w:tcPr>
            <w:tcW w:w="1662" w:type="dxa"/>
          </w:tcPr>
          <w:p w14:paraId="1CE9DA49" w14:textId="77777777" w:rsidR="00D70531" w:rsidRDefault="00672C9C">
            <w:r>
              <w:rPr>
                <w:rFonts w:ascii="Times New Roman" w:eastAsia="Times New Roman" w:hAnsi="Times New Roman"/>
                <w:sz w:val="18"/>
              </w:rPr>
              <w:t>≈3.017</w:t>
            </w:r>
          </w:p>
        </w:tc>
        <w:tc>
          <w:tcPr>
            <w:tcW w:w="1662" w:type="dxa"/>
          </w:tcPr>
          <w:p w14:paraId="5267D47F" w14:textId="77777777" w:rsidR="00D70531" w:rsidRDefault="00672C9C">
            <w:r>
              <w:rPr>
                <w:rFonts w:ascii="Times New Roman" w:eastAsia="Times New Roman" w:hAnsi="Times New Roman"/>
                <w:sz w:val="18"/>
              </w:rPr>
              <w:t>≈3.728</w:t>
            </w:r>
          </w:p>
        </w:tc>
        <w:tc>
          <w:tcPr>
            <w:tcW w:w="1662" w:type="dxa"/>
          </w:tcPr>
          <w:p w14:paraId="744FEBE4" w14:textId="77777777" w:rsidR="00D70531" w:rsidRDefault="00672C9C">
            <w:r>
              <w:rPr>
                <w:rFonts w:ascii="Times New Roman" w:eastAsia="Times New Roman" w:hAnsi="Times New Roman"/>
                <w:sz w:val="18"/>
              </w:rPr>
              <w:t>≈2.254</w:t>
            </w:r>
          </w:p>
        </w:tc>
        <w:tc>
          <w:tcPr>
            <w:tcW w:w="1662" w:type="dxa"/>
          </w:tcPr>
          <w:p w14:paraId="39198F47" w14:textId="77777777" w:rsidR="00D70531" w:rsidRDefault="00672C9C">
            <w:r>
              <w:rPr>
                <w:rFonts w:ascii="Times New Roman" w:eastAsia="Times New Roman" w:hAnsi="Times New Roman"/>
                <w:sz w:val="18"/>
              </w:rPr>
              <w:t>≈2.785</w:t>
            </w:r>
          </w:p>
        </w:tc>
      </w:tr>
      <w:tr w:rsidR="00D70531" w14:paraId="4CCFD63A" w14:textId="77777777">
        <w:tc>
          <w:tcPr>
            <w:tcW w:w="1662" w:type="dxa"/>
          </w:tcPr>
          <w:p w14:paraId="5105A95F" w14:textId="77777777" w:rsidR="00D70531" w:rsidRDefault="00672C9C">
            <w:r>
              <w:rPr>
                <w:rFonts w:ascii="Times New Roman" w:eastAsia="Times New Roman" w:hAnsi="Times New Roman"/>
                <w:sz w:val="18"/>
              </w:rPr>
              <w:t>6</w:t>
            </w:r>
          </w:p>
        </w:tc>
        <w:tc>
          <w:tcPr>
            <w:tcW w:w="1662" w:type="dxa"/>
          </w:tcPr>
          <w:p w14:paraId="613F85D7" w14:textId="77777777" w:rsidR="00D70531" w:rsidRDefault="00672C9C">
            <w:r>
              <w:rPr>
                <w:rFonts w:ascii="Times New Roman" w:eastAsia="Times New Roman" w:hAnsi="Times New Roman"/>
                <w:sz w:val="18"/>
              </w:rPr>
              <w:t>Naïve</w:t>
            </w:r>
          </w:p>
        </w:tc>
        <w:tc>
          <w:tcPr>
            <w:tcW w:w="1662" w:type="dxa"/>
          </w:tcPr>
          <w:p w14:paraId="5CFE6B43" w14:textId="77777777" w:rsidR="00D70531" w:rsidRDefault="00672C9C">
            <w:r>
              <w:rPr>
                <w:rFonts w:ascii="Times New Roman" w:eastAsia="Times New Roman" w:hAnsi="Times New Roman"/>
                <w:sz w:val="18"/>
              </w:rPr>
              <w:t>3.783</w:t>
            </w:r>
          </w:p>
        </w:tc>
        <w:tc>
          <w:tcPr>
            <w:tcW w:w="1662" w:type="dxa"/>
          </w:tcPr>
          <w:p w14:paraId="2765C13C" w14:textId="77777777" w:rsidR="00D70531" w:rsidRDefault="00672C9C">
            <w:r>
              <w:rPr>
                <w:rFonts w:ascii="Times New Roman" w:eastAsia="Times New Roman" w:hAnsi="Times New Roman"/>
                <w:sz w:val="18"/>
              </w:rPr>
              <w:t>4.459</w:t>
            </w:r>
          </w:p>
        </w:tc>
        <w:tc>
          <w:tcPr>
            <w:tcW w:w="1662" w:type="dxa"/>
          </w:tcPr>
          <w:p w14:paraId="05B2D0C0" w14:textId="77777777" w:rsidR="00D70531" w:rsidRDefault="00672C9C">
            <w:r>
              <w:rPr>
                <w:rFonts w:ascii="Times New Roman" w:eastAsia="Times New Roman" w:hAnsi="Times New Roman"/>
                <w:sz w:val="18"/>
              </w:rPr>
              <w:t>2.827</w:t>
            </w:r>
          </w:p>
        </w:tc>
        <w:tc>
          <w:tcPr>
            <w:tcW w:w="1662" w:type="dxa"/>
          </w:tcPr>
          <w:p w14:paraId="37FF00D6" w14:textId="77777777" w:rsidR="00D70531" w:rsidRDefault="00672C9C">
            <w:r>
              <w:rPr>
                <w:rFonts w:ascii="Times New Roman" w:eastAsia="Times New Roman" w:hAnsi="Times New Roman"/>
                <w:sz w:val="18"/>
              </w:rPr>
              <w:t>−0.882</w:t>
            </w:r>
          </w:p>
        </w:tc>
      </w:tr>
      <w:tr w:rsidR="00D70531" w14:paraId="67BDF88B" w14:textId="77777777">
        <w:tc>
          <w:tcPr>
            <w:tcW w:w="1662" w:type="dxa"/>
          </w:tcPr>
          <w:p w14:paraId="5C5A49A8" w14:textId="77777777" w:rsidR="00D70531" w:rsidRDefault="00672C9C">
            <w:r>
              <w:rPr>
                <w:rFonts w:ascii="Times New Roman" w:eastAsia="Times New Roman" w:hAnsi="Times New Roman"/>
                <w:sz w:val="18"/>
              </w:rPr>
              <w:t>7</w:t>
            </w:r>
          </w:p>
        </w:tc>
        <w:tc>
          <w:tcPr>
            <w:tcW w:w="1662" w:type="dxa"/>
          </w:tcPr>
          <w:p w14:paraId="0EC8A307" w14:textId="77777777" w:rsidR="00D70531" w:rsidRDefault="00672C9C">
            <w:r>
              <w:rPr>
                <w:rFonts w:ascii="Times New Roman" w:eastAsia="Times New Roman" w:hAnsi="Times New Roman"/>
                <w:sz w:val="18"/>
              </w:rPr>
              <w:t>Mean</w:t>
            </w:r>
          </w:p>
        </w:tc>
        <w:tc>
          <w:tcPr>
            <w:tcW w:w="1662" w:type="dxa"/>
          </w:tcPr>
          <w:p w14:paraId="4222F3B9" w14:textId="77777777" w:rsidR="00D70531" w:rsidRDefault="00672C9C">
            <w:r>
              <w:rPr>
                <w:rFonts w:ascii="Times New Roman" w:eastAsia="Times New Roman" w:hAnsi="Times New Roman"/>
                <w:sz w:val="18"/>
              </w:rPr>
              <w:t>3.789</w:t>
            </w:r>
          </w:p>
        </w:tc>
        <w:tc>
          <w:tcPr>
            <w:tcW w:w="1662" w:type="dxa"/>
          </w:tcPr>
          <w:p w14:paraId="51ECD22E" w14:textId="77777777" w:rsidR="00D70531" w:rsidRDefault="00672C9C">
            <w:r>
              <w:rPr>
                <w:rFonts w:ascii="Times New Roman" w:eastAsia="Times New Roman" w:hAnsi="Times New Roman"/>
                <w:sz w:val="18"/>
              </w:rPr>
              <w:t>4.397</w:t>
            </w:r>
          </w:p>
        </w:tc>
        <w:tc>
          <w:tcPr>
            <w:tcW w:w="1662" w:type="dxa"/>
          </w:tcPr>
          <w:p w14:paraId="0547FD9D" w14:textId="77777777" w:rsidR="00D70531" w:rsidRDefault="00672C9C">
            <w:r>
              <w:rPr>
                <w:rFonts w:ascii="Times New Roman" w:eastAsia="Times New Roman" w:hAnsi="Times New Roman"/>
                <w:sz w:val="18"/>
              </w:rPr>
              <w:t>2.831</w:t>
            </w:r>
          </w:p>
        </w:tc>
        <w:tc>
          <w:tcPr>
            <w:tcW w:w="1662" w:type="dxa"/>
          </w:tcPr>
          <w:p w14:paraId="35D92DC7" w14:textId="77777777" w:rsidR="00D70531" w:rsidRDefault="00672C9C">
            <w:r>
              <w:rPr>
                <w:rFonts w:ascii="Times New Roman" w:eastAsia="Times New Roman" w:hAnsi="Times New Roman"/>
                <w:sz w:val="18"/>
              </w:rPr>
              <w:t>0.481</w:t>
            </w:r>
          </w:p>
        </w:tc>
      </w:tr>
      <w:tr w:rsidR="00D70531" w14:paraId="477373A2" w14:textId="77777777">
        <w:tc>
          <w:tcPr>
            <w:tcW w:w="1662" w:type="dxa"/>
          </w:tcPr>
          <w:p w14:paraId="7DF4D0BF" w14:textId="77777777" w:rsidR="00D70531" w:rsidRDefault="00672C9C">
            <w:r>
              <w:rPr>
                <w:rFonts w:ascii="Times New Roman" w:eastAsia="Times New Roman" w:hAnsi="Times New Roman"/>
                <w:sz w:val="18"/>
              </w:rPr>
              <w:t>8</w:t>
            </w:r>
          </w:p>
        </w:tc>
        <w:tc>
          <w:tcPr>
            <w:tcW w:w="1662" w:type="dxa"/>
          </w:tcPr>
          <w:p w14:paraId="33F930F0" w14:textId="77777777" w:rsidR="00D70531" w:rsidRDefault="00672C9C">
            <w:r>
              <w:rPr>
                <w:rFonts w:ascii="Times New Roman" w:eastAsia="Times New Roman" w:hAnsi="Times New Roman"/>
                <w:sz w:val="18"/>
              </w:rPr>
              <w:t>Drift</w:t>
            </w:r>
          </w:p>
        </w:tc>
        <w:tc>
          <w:tcPr>
            <w:tcW w:w="1662" w:type="dxa"/>
          </w:tcPr>
          <w:p w14:paraId="79D74345" w14:textId="77777777" w:rsidR="00D70531" w:rsidRDefault="00672C9C">
            <w:r>
              <w:rPr>
                <w:rFonts w:ascii="Times New Roman" w:eastAsia="Times New Roman" w:hAnsi="Times New Roman"/>
                <w:sz w:val="18"/>
              </w:rPr>
              <w:t>4.340</w:t>
            </w:r>
          </w:p>
        </w:tc>
        <w:tc>
          <w:tcPr>
            <w:tcW w:w="1662" w:type="dxa"/>
          </w:tcPr>
          <w:p w14:paraId="523CB756" w14:textId="77777777" w:rsidR="00D70531" w:rsidRDefault="00672C9C">
            <w:r>
              <w:rPr>
                <w:rFonts w:ascii="Times New Roman" w:eastAsia="Times New Roman" w:hAnsi="Times New Roman"/>
                <w:sz w:val="18"/>
              </w:rPr>
              <w:t>5.118</w:t>
            </w:r>
          </w:p>
        </w:tc>
        <w:tc>
          <w:tcPr>
            <w:tcW w:w="1662" w:type="dxa"/>
          </w:tcPr>
          <w:p w14:paraId="7E522F16" w14:textId="77777777" w:rsidR="00D70531" w:rsidRDefault="00672C9C">
            <w:r>
              <w:rPr>
                <w:rFonts w:ascii="Times New Roman" w:eastAsia="Times New Roman" w:hAnsi="Times New Roman"/>
                <w:sz w:val="18"/>
              </w:rPr>
              <w:t>3.243</w:t>
            </w:r>
          </w:p>
        </w:tc>
        <w:tc>
          <w:tcPr>
            <w:tcW w:w="1662" w:type="dxa"/>
          </w:tcPr>
          <w:p w14:paraId="31E55ED2" w14:textId="77777777" w:rsidR="00D70531" w:rsidRDefault="00672C9C">
            <w:r>
              <w:rPr>
                <w:rFonts w:ascii="Times New Roman" w:eastAsia="Times New Roman" w:hAnsi="Times New Roman"/>
                <w:sz w:val="18"/>
              </w:rPr>
              <w:t>1.007</w:t>
            </w:r>
          </w:p>
        </w:tc>
      </w:tr>
    </w:tbl>
    <w:p w14:paraId="3327E36C" w14:textId="77777777" w:rsidR="00D70531" w:rsidRDefault="00D70531"/>
    <w:p w14:paraId="1C4C6A59" w14:textId="77777777" w:rsidR="00D70531" w:rsidRDefault="00672C9C">
      <w:pPr>
        <w:spacing w:before="240" w:after="120"/>
      </w:pPr>
      <w:r>
        <w:rPr>
          <w:rFonts w:ascii="Times New Roman" w:eastAsia="Times New Roman" w:hAnsi="Times New Roman"/>
          <w:b/>
          <w:sz w:val="28"/>
        </w:rPr>
        <w:t>7. Discussion (assignment analysis questions)</w:t>
      </w:r>
    </w:p>
    <w:p w14:paraId="3A989014" w14:textId="77777777" w:rsidR="00D70531" w:rsidRDefault="00672C9C">
      <w:pPr>
        <w:spacing w:before="160" w:after="120"/>
      </w:pPr>
      <w:r>
        <w:rPr>
          <w:rFonts w:ascii="Times New Roman" w:eastAsia="Times New Roman" w:hAnsi="Times New Roman"/>
          <w:b/>
          <w:sz w:val="24"/>
        </w:rPr>
        <w:t>7.1 Comparison with the seasonal naïve benchmark</w:t>
      </w:r>
    </w:p>
    <w:p w14:paraId="09DC2E81" w14:textId="77777777" w:rsidR="00D70531" w:rsidRDefault="00672C9C">
      <w:pPr>
        <w:spacing w:after="160" w:line="240" w:lineRule="auto"/>
      </w:pPr>
      <w:r>
        <w:rPr>
          <w:rFonts w:ascii="Times New Roman" w:eastAsia="Times New Roman" w:hAnsi="Times New Roman"/>
        </w:rPr>
        <w:t>Only the feature-based GBR provides a meaningful—though small—improvement over seasonal naïve (MAE 2.22 vs 2.32 GW; MASE 1.66 vs 1.73). SARIMA, all SARIMAX variants, mean/naïve/drift and the LSTM fail to beat the corresponding seasonal naïve benchmarks. The result reflects both the strength of yearly electricity seasonality and the difficulty of a single two-year multi-step evaluation.</w:t>
      </w:r>
    </w:p>
    <w:p w14:paraId="5EF0B92B" w14:textId="77777777" w:rsidR="00D70531" w:rsidRDefault="00672C9C">
      <w:pPr>
        <w:spacing w:before="160" w:after="120"/>
      </w:pPr>
      <w:r>
        <w:rPr>
          <w:rFonts w:ascii="Times New Roman" w:eastAsia="Times New Roman" w:hAnsi="Times New Roman"/>
          <w:b/>
          <w:sz w:val="24"/>
        </w:rPr>
        <w:t>7.2 Avoiding data leakage with lag and temperature features</w:t>
      </w:r>
    </w:p>
    <w:p w14:paraId="53FC8A33" w14:textId="77777777" w:rsidR="00D70531" w:rsidRDefault="00672C9C">
      <w:pPr>
        <w:spacing w:after="160" w:line="240" w:lineRule="auto"/>
      </w:pPr>
      <w:r>
        <w:rPr>
          <w:rFonts w:ascii="Times New Roman" w:eastAsia="Times New Roman" w:hAnsi="Times New Roman"/>
        </w:rPr>
        <w:t>Load lags were created with positive shifts; rolling statistics used a one-step shift before smoothing. Multi-step GBR predictions never consulted future observed load when constructing subsequent features. Temperature entered as an exogenous covariate: using realised temperature in the test window does not leak the load target, but it assumes weather information that would, in operations, come from a forecast. That assumption is disclosed by labelling weather-aware forecasts as conditional.</w:t>
      </w:r>
    </w:p>
    <w:p w14:paraId="1A4EAFBB" w14:textId="77777777" w:rsidR="00D70531" w:rsidRDefault="00672C9C">
      <w:pPr>
        <w:spacing w:before="160" w:after="120"/>
      </w:pPr>
      <w:r>
        <w:rPr>
          <w:rFonts w:ascii="Times New Roman" w:eastAsia="Times New Roman" w:hAnsi="Times New Roman"/>
          <w:b/>
          <w:sz w:val="24"/>
        </w:rPr>
        <w:t>7.3 Differencing orders and seasonal period for SARIMAX</w:t>
      </w:r>
    </w:p>
    <w:p w14:paraId="57B84D4F" w14:textId="77777777" w:rsidR="00D70531" w:rsidRDefault="00672C9C">
      <w:pPr>
        <w:spacing w:after="160" w:line="240" w:lineRule="auto"/>
      </w:pPr>
      <w:r>
        <w:rPr>
          <w:rFonts w:ascii="Times New Roman" w:eastAsia="Times New Roman" w:hAnsi="Times New Roman"/>
        </w:rPr>
        <w:t>The seasonal period s = 52 follows from weekly sampling of an annual cycle (STL/ACF). Seasonal differencing D = 1 removes that yearly pattern. The AIC search selected d = 0 with (p, q) = (4, 6); nearby models with d = 1 had only marginally worse AIC, so extra non-seasonal differencing was not strongly required once seasonality was handled. Seasonal ARMA terms were held at (1,1) given the assignment’s emphasis on searching (p,d,q) and the computational cost of a full seasonal grid with s = 52.</w:t>
      </w:r>
    </w:p>
    <w:p w14:paraId="547AA843" w14:textId="77777777" w:rsidR="00D70531" w:rsidRDefault="00672C9C">
      <w:pPr>
        <w:spacing w:before="160" w:after="120"/>
      </w:pPr>
      <w:r>
        <w:rPr>
          <w:rFonts w:ascii="Times New Roman" w:eastAsia="Times New Roman" w:hAnsi="Times New Roman"/>
          <w:b/>
          <w:sz w:val="24"/>
        </w:rPr>
        <w:t>7.4 Temperature and holiday covariates</w:t>
      </w:r>
    </w:p>
    <w:p w14:paraId="00960702" w14:textId="77777777" w:rsidR="00D70531" w:rsidRDefault="00672C9C">
      <w:pPr>
        <w:spacing w:after="160" w:line="240" w:lineRule="auto"/>
      </w:pPr>
      <w:r>
        <w:rPr>
          <w:rFonts w:ascii="Times New Roman" w:eastAsia="Times New Roman" w:hAnsi="Times New Roman"/>
        </w:rPr>
        <w:t>Within SARIMAX, temperature clearly helps and holidays add a further small improvement (MAE 3.02 → 2.80 → 2.78 GW), but accuracy remains below seasonal naïve. Holiday indicators are known at the forecast origin and are valid future covariates. Temperature is not known with certainty; realised values yield a conditional forecast, whereas an operational pipeline would substitute numerical weather prediction and inherit weather-forecast error.</w:t>
      </w:r>
    </w:p>
    <w:p w14:paraId="16978416" w14:textId="77777777" w:rsidR="00D70531" w:rsidRDefault="00672C9C">
      <w:pPr>
        <w:spacing w:before="160" w:after="120"/>
      </w:pPr>
      <w:r>
        <w:rPr>
          <w:rFonts w:ascii="Times New Roman" w:eastAsia="Times New Roman" w:hAnsi="Times New Roman"/>
          <w:b/>
          <w:sz w:val="24"/>
        </w:rPr>
        <w:t>7.5 Interpretability and complexity</w:t>
      </w:r>
    </w:p>
    <w:p w14:paraId="4DB307D9" w14:textId="77777777" w:rsidR="00D70531" w:rsidRDefault="00672C9C">
      <w:pPr>
        <w:spacing w:after="160" w:line="240" w:lineRule="auto"/>
      </w:pPr>
      <w:r>
        <w:rPr>
          <w:rFonts w:ascii="Times New Roman" w:eastAsia="Times New Roman" w:hAnsi="Times New Roman"/>
        </w:rPr>
        <w:t>SARIMAX offers the clearest narrative: autoregressive memory, seasonal differencing and signed weather/holiday coefficients. The GBR is intermediate—feature importance can be inspected, but dynamics are not a closed-form difference equation. The LSTM is the least interpretable and, here, the least competitive. Complexity therefore rises from SARIMAX → GBR → LSTM, while weekly accuracy peaked at GBR.</w:t>
      </w:r>
    </w:p>
    <w:p w14:paraId="0C443A0A" w14:textId="77777777" w:rsidR="004B56E1" w:rsidRDefault="004B56E1">
      <w:pPr>
        <w:spacing w:before="160" w:after="120"/>
        <w:rPr>
          <w:rFonts w:ascii="Times New Roman" w:eastAsia="Times New Roman" w:hAnsi="Times New Roman"/>
          <w:b/>
          <w:sz w:val="24"/>
        </w:rPr>
      </w:pPr>
    </w:p>
    <w:p w14:paraId="4F912777" w14:textId="77777777" w:rsidR="004B56E1" w:rsidRDefault="004B56E1">
      <w:pPr>
        <w:spacing w:before="160" w:after="120"/>
        <w:rPr>
          <w:rFonts w:ascii="Times New Roman" w:eastAsia="Times New Roman" w:hAnsi="Times New Roman"/>
          <w:b/>
          <w:sz w:val="24"/>
        </w:rPr>
      </w:pPr>
    </w:p>
    <w:p w14:paraId="6840FC97" w14:textId="30733A52" w:rsidR="00D70531" w:rsidRDefault="00672C9C">
      <w:pPr>
        <w:spacing w:before="160" w:after="120"/>
      </w:pPr>
      <w:r>
        <w:rPr>
          <w:rFonts w:ascii="Times New Roman" w:eastAsia="Times New Roman" w:hAnsi="Times New Roman"/>
          <w:b/>
          <w:sz w:val="24"/>
        </w:rPr>
        <w:lastRenderedPageBreak/>
        <w:t>7.6 Operational recommendation</w:t>
      </w:r>
    </w:p>
    <w:p w14:paraId="20270C77" w14:textId="77777777" w:rsidR="00D70531" w:rsidRDefault="00672C9C">
      <w:pPr>
        <w:spacing w:after="160" w:line="240" w:lineRule="auto"/>
      </w:pPr>
      <w:r>
        <w:rPr>
          <w:rFonts w:ascii="Times New Roman" w:eastAsia="Times New Roman" w:hAnsi="Times New Roman"/>
        </w:rPr>
        <w:t>For operational weekly forecasting I recommend the feature-based gradient boosting model, supported by a continuously updated seasonal naïve monitor. GBR alone improved hold-out MAE/MASE; it is inexpensive to retrain weekly and its inputs are understandable to operators. Seasonal naïve remains an essential fallback and audit benchmark. SARIMAX is attractive when formal prediction intervals and coefficient interpretation are required, provided temperature is sourced from weather forecasts (or omitted). The p</w:t>
      </w:r>
      <w:r>
        <w:rPr>
          <w:rFonts w:ascii="Times New Roman" w:eastAsia="Times New Roman" w:hAnsi="Times New Roman"/>
        </w:rPr>
        <w:t>resent LSTM configuration is not recommended for a two-year recursive hourly product; neural models are better reserved for shorter horizons where recursive drift is limited.</w:t>
      </w:r>
    </w:p>
    <w:p w14:paraId="15160261" w14:textId="77777777" w:rsidR="00D70531" w:rsidRDefault="00672C9C">
      <w:pPr>
        <w:spacing w:before="240" w:after="120"/>
      </w:pPr>
      <w:r>
        <w:rPr>
          <w:rFonts w:ascii="Times New Roman" w:eastAsia="Times New Roman" w:hAnsi="Times New Roman"/>
          <w:b/>
          <w:sz w:val="28"/>
        </w:rPr>
        <w:t>8. Limitations and future improvements</w:t>
      </w:r>
    </w:p>
    <w:p w14:paraId="08661237" w14:textId="77777777" w:rsidR="00D70531" w:rsidRDefault="00672C9C">
      <w:pPr>
        <w:spacing w:after="160" w:line="240" w:lineRule="auto"/>
      </w:pPr>
      <w:r>
        <w:rPr>
          <w:rFonts w:ascii="Times New Roman" w:eastAsia="Times New Roman" w:hAnsi="Times New Roman"/>
        </w:rPr>
        <w:t>A single fixed origin with a 104-week horizon stresses multi-step methods; rolling-origin evaluation would better reflect short-horizon SARIMA and LSTM skill. The test window overlaps COVID-19 demand shifts in 2020, which may inflate and redistribute errors. Temperature enters as a conditional input; replacing it with lagged weather forecasts would stress-test operational value. Prediction intervals were produced for SARIMA/X but not for GBR; conformal calibration or quantile forests would close that gap. F</w:t>
      </w:r>
      <w:r>
        <w:rPr>
          <w:rFonts w:ascii="Times New Roman" w:eastAsia="Times New Roman" w:hAnsi="Times New Roman"/>
        </w:rPr>
        <w:t>uture work could explore hybrid forecasts (seasonal naïve or SARIMA level plus ML residual correction) and shorter-horizon LSTM day-ahead experiments closer to settings emphasised by Hossain et al. (2020).</w:t>
      </w:r>
    </w:p>
    <w:p w14:paraId="4ED58CB0" w14:textId="77777777" w:rsidR="00D70531" w:rsidRDefault="00672C9C">
      <w:pPr>
        <w:spacing w:before="240" w:after="120"/>
      </w:pPr>
      <w:r>
        <w:rPr>
          <w:rFonts w:ascii="Times New Roman" w:eastAsia="Times New Roman" w:hAnsi="Times New Roman"/>
          <w:b/>
          <w:sz w:val="28"/>
        </w:rPr>
        <w:t>9. Conclusion</w:t>
      </w:r>
    </w:p>
    <w:p w14:paraId="71832B6E" w14:textId="77777777" w:rsidR="00D70531" w:rsidRDefault="00672C9C">
      <w:pPr>
        <w:spacing w:after="160" w:line="240" w:lineRule="auto"/>
      </w:pPr>
      <w:r>
        <w:rPr>
          <w:rFonts w:ascii="Times New Roman" w:eastAsia="Times New Roman" w:hAnsi="Times New Roman"/>
        </w:rPr>
        <w:t>This case study modelled German electricity demand from 2015 to 2020 using benchmarks, AIC-tuned SARIMA/SARIMAX, a recursive feature-based gradient booster and an hourly LSTM. Exploratory analysis confirmed a dominant annual seasonal component. On a two-year hold-out set, seasonal naïve proved difficult to beat: only the feature-based model achieved a modest improvement (MAE 2.22 GW versus 2.32 GW). Temperature and holiday covariates improved SARIMAX relative to an unaugmented specification but not relative</w:t>
      </w:r>
      <w:r>
        <w:rPr>
          <w:rFonts w:ascii="Times New Roman" w:eastAsia="Times New Roman" w:hAnsi="Times New Roman"/>
        </w:rPr>
        <w:t xml:space="preserve"> to the seasonal benchmark, and realised temperatures imply a conditional rather than fully operational forecast. The LSTM underperformed an hourly seasonal naïve rule under long recursive evaluation. For operational weekly forecasting, the results favour a maintained GBR with seasonal naïve as the reference and fallback.</w:t>
      </w:r>
    </w:p>
    <w:p w14:paraId="5025FF97" w14:textId="77777777" w:rsidR="00D70531" w:rsidRDefault="00672C9C">
      <w:pPr>
        <w:spacing w:before="240" w:after="120"/>
      </w:pPr>
      <w:r>
        <w:rPr>
          <w:rFonts w:ascii="Times New Roman" w:eastAsia="Times New Roman" w:hAnsi="Times New Roman"/>
          <w:b/>
          <w:sz w:val="28"/>
        </w:rPr>
        <w:t>References</w:t>
      </w:r>
    </w:p>
    <w:p w14:paraId="5CCB1B98" w14:textId="77777777" w:rsidR="00D70531" w:rsidRDefault="00672C9C">
      <w:pPr>
        <w:spacing w:after="40"/>
        <w:ind w:left="283" w:hanging="283"/>
      </w:pPr>
      <w:r>
        <w:rPr>
          <w:rFonts w:ascii="Times New Roman" w:eastAsia="Times New Roman" w:hAnsi="Times New Roman"/>
          <w:sz w:val="18"/>
        </w:rPr>
        <w:t>Box, G.E.P., Jenkins, G.M., Reinsel, G.C. and Ljung, G.M. (2015) Time Series Analysis: Forecasting and Control. 5th edn. Wiley.</w:t>
      </w:r>
    </w:p>
    <w:p w14:paraId="76EE8AF4" w14:textId="77777777" w:rsidR="00D70531" w:rsidRDefault="00672C9C">
      <w:pPr>
        <w:spacing w:after="40"/>
        <w:ind w:left="283" w:hanging="283"/>
      </w:pPr>
      <w:r>
        <w:rPr>
          <w:rFonts w:ascii="Times New Roman" w:eastAsia="Times New Roman" w:hAnsi="Times New Roman"/>
          <w:sz w:val="18"/>
        </w:rPr>
        <w:t>Hong, T. and Fan, S. (2016) ‘Probabilistic electric load forecasting: A tutorial review’, International Journal of Forecasting, 32(3), pp. 914–938.</w:t>
      </w:r>
    </w:p>
    <w:p w14:paraId="3855B2B2" w14:textId="77777777" w:rsidR="00D70531" w:rsidRDefault="00672C9C">
      <w:pPr>
        <w:spacing w:after="40"/>
        <w:ind w:left="283" w:hanging="283"/>
      </w:pPr>
      <w:r>
        <w:rPr>
          <w:rFonts w:ascii="Times New Roman" w:eastAsia="Times New Roman" w:hAnsi="Times New Roman"/>
          <w:sz w:val="18"/>
        </w:rPr>
        <w:t>Hossain, M.S. and Mahmood, H. (2020) ‘Short-term load forecasting using an LSTM neural network’, IEEE Power and Energy Conference at Illinois (PECI).</w:t>
      </w:r>
    </w:p>
    <w:p w14:paraId="4AB51A79" w14:textId="77777777" w:rsidR="00D70531" w:rsidRDefault="00672C9C">
      <w:pPr>
        <w:spacing w:after="40"/>
        <w:ind w:left="283" w:hanging="283"/>
      </w:pPr>
      <w:r>
        <w:rPr>
          <w:rFonts w:ascii="Times New Roman" w:eastAsia="Times New Roman" w:hAnsi="Times New Roman"/>
          <w:sz w:val="18"/>
        </w:rPr>
        <w:t>Hyndman, R.J. and Athanasopoulos, G. (2021) Forecasting: Principles and Practice. 3rd edn. Melbourne: OTexts. Available at: https://otexts.com/fpp3/</w:t>
      </w:r>
    </w:p>
    <w:p w14:paraId="20C57C8F" w14:textId="77777777" w:rsidR="00D70531" w:rsidRDefault="00672C9C">
      <w:pPr>
        <w:spacing w:after="40"/>
        <w:ind w:left="283" w:hanging="283"/>
      </w:pPr>
      <w:r>
        <w:rPr>
          <w:rFonts w:ascii="Times New Roman" w:eastAsia="Times New Roman" w:hAnsi="Times New Roman"/>
          <w:sz w:val="18"/>
        </w:rPr>
        <w:t>Hyndman, R.J. and Koehler, A.B. (2006) ‘Another look at measures of forecast accuracy’, International Journal of Forecasting, 22(4), pp. 679–688.</w:t>
      </w:r>
    </w:p>
    <w:p w14:paraId="5348434E" w14:textId="77777777" w:rsidR="00D70531" w:rsidRDefault="00672C9C">
      <w:pPr>
        <w:spacing w:after="40"/>
        <w:ind w:left="283" w:hanging="283"/>
      </w:pPr>
      <w:r>
        <w:rPr>
          <w:rFonts w:ascii="Times New Roman" w:eastAsia="Times New Roman" w:hAnsi="Times New Roman"/>
          <w:sz w:val="18"/>
        </w:rPr>
        <w:t>Nabavi, S.A. et al. (2024) ‘Deep learning modeling in electricity load forecasting: a review’, Energy Reports.</w:t>
      </w:r>
    </w:p>
    <w:p w14:paraId="164ADA82" w14:textId="77777777" w:rsidR="00D70531" w:rsidRDefault="00672C9C">
      <w:pPr>
        <w:spacing w:after="40"/>
        <w:ind w:left="283" w:hanging="283"/>
      </w:pPr>
      <w:r>
        <w:rPr>
          <w:rFonts w:ascii="Times New Roman" w:eastAsia="Times New Roman" w:hAnsi="Times New Roman"/>
          <w:sz w:val="18"/>
        </w:rPr>
        <w:t>Open Power System Data (2020) Time series data package (version 2020-10-06). Available at: https://data.open-power-system-data.org/time_series/</w:t>
      </w:r>
    </w:p>
    <w:p w14:paraId="50AD7887" w14:textId="77777777" w:rsidR="00D70531" w:rsidRDefault="00672C9C">
      <w:pPr>
        <w:spacing w:after="40"/>
        <w:ind w:left="283" w:hanging="283"/>
      </w:pPr>
      <w:r>
        <w:rPr>
          <w:rFonts w:ascii="Times New Roman" w:eastAsia="Times New Roman" w:hAnsi="Times New Roman"/>
          <w:sz w:val="18"/>
        </w:rPr>
        <w:t>Zippenfenig, P. / Open-Meteo (2023) Open-Meteo Weather API. Available at: https://open-meteo.com/</w:t>
      </w:r>
    </w:p>
    <w:sectPr w:rsidR="00D70531" w:rsidSect="004B56E1">
      <w:pgSz w:w="12240" w:h="15840"/>
      <w:pgMar w:top="567" w:right="1134"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6630370">
    <w:abstractNumId w:val="8"/>
  </w:num>
  <w:num w:numId="2" w16cid:durableId="1758817926">
    <w:abstractNumId w:val="6"/>
  </w:num>
  <w:num w:numId="3" w16cid:durableId="1087192952">
    <w:abstractNumId w:val="5"/>
  </w:num>
  <w:num w:numId="4" w16cid:durableId="2043747885">
    <w:abstractNumId w:val="4"/>
  </w:num>
  <w:num w:numId="5" w16cid:durableId="1418360397">
    <w:abstractNumId w:val="7"/>
  </w:num>
  <w:num w:numId="6" w16cid:durableId="1654603907">
    <w:abstractNumId w:val="3"/>
  </w:num>
  <w:num w:numId="7" w16cid:durableId="1377780922">
    <w:abstractNumId w:val="2"/>
  </w:num>
  <w:num w:numId="8" w16cid:durableId="733309944">
    <w:abstractNumId w:val="1"/>
  </w:num>
  <w:num w:numId="9" w16cid:durableId="36702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631DB"/>
    <w:rsid w:val="00405741"/>
    <w:rsid w:val="00474B47"/>
    <w:rsid w:val="004B56E1"/>
    <w:rsid w:val="00672C9C"/>
    <w:rsid w:val="00AA1D8D"/>
    <w:rsid w:val="00B47730"/>
    <w:rsid w:val="00CB0664"/>
    <w:rsid w:val="00D70531"/>
    <w:rsid w:val="00FC693F"/>
    <w:rsid w:val="00FE2D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C3CE4E"/>
  <w14:defaultImageDpi w14:val="300"/>
  <w15:docId w15:val="{CE384FC0-BBDB-4FC7-9E13-5161929A0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LIKITH RATHIPINNI</cp:lastModifiedBy>
  <cp:revision>2</cp:revision>
  <dcterms:created xsi:type="dcterms:W3CDTF">2026-07-15T22:29:00Z</dcterms:created>
  <dcterms:modified xsi:type="dcterms:W3CDTF">2026-07-15T22:29:00Z</dcterms:modified>
  <cp:category/>
</cp:coreProperties>
</file>