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66"/>
      </w:tblGrid>
      <w:tr>
        <w:tc>
          <w:tcPr>
            <w:tcW w:type="dxa" w:w="9066"/>
            <w:shd w:val="clear" w:color="auto" w:fill="0F4C81"/>
            <w:vAlign w:val="center"/>
          </w:tcPr>
          <w:p>
            <w:pPr>
              <w:spacing w:before="280" w:after="280"/>
              <w:jc w:val="center"/>
            </w:pPr>
            <w:r>
              <w:rPr>
                <w:rFonts w:ascii="Calibri" w:hAnsi="Calibri"/>
                <w:b/>
                <w:color w:val="FFFFFF"/>
                <w:sz w:val="44"/>
              </w:rPr>
              <w:t>EDUMANAGE SYSTEM REPORT</w:t>
            </w:r>
          </w:p>
        </w:tc>
      </w:tr>
    </w:tbl>
    <w:p/>
    <w:p>
      <w:pPr>
        <w:jc w:val="center"/>
      </w:pPr>
      <w:r>
        <w:rPr>
          <w:rFonts w:ascii="Calibri" w:hAnsi="Calibri"/>
          <w:b/>
          <w:color w:val="0F4C81"/>
          <w:sz w:val="28"/>
        </w:rPr>
        <w:t>EduManage — Advanced Education Management System</w:t>
      </w:r>
    </w:p>
    <w:p>
      <w:pPr>
        <w:jc w:val="center"/>
      </w:pPr>
      <w:r>
        <w:rPr>
          <w:color w:val="334155"/>
          <w:sz w:val="24"/>
        </w:rPr>
        <w:t>Intermediate Education System Project</w:t>
      </w:r>
    </w:p>
    <w:p/>
    <w:p>
      <w:pPr>
        <w:pBdr>
          <w:bottom w:val="single" w:sz="6" w:space="1" w:color="F28C6F"/>
        </w:pBdr>
        <w:spacing w:before="40" w:after="120"/>
      </w:pPr>
    </w:p>
    <w:p/>
    <w:p>
      <w:pPr>
        <w:jc w:val="center"/>
      </w:pPr>
      <w:r>
        <w:rPr>
          <w:rFonts w:ascii="Calibri" w:hAnsi="Calibri"/>
          <w:b/>
          <w:color w:val="0F4C81"/>
          <w:sz w:val="26"/>
        </w:rPr>
        <w:t>GROUP MEMBERS</w:t>
      </w:r>
    </w:p>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0F4C81"/>
          </w:tcPr>
          <w:p>
            <w:pPr>
              <w:jc w:val="center"/>
            </w:pPr>
            <w:r>
              <w:rPr>
                <w:b/>
                <w:color w:val="FFFFFF"/>
                <w:sz w:val="22"/>
              </w:rPr>
              <w:t>Full Name</w:t>
            </w:r>
          </w:p>
        </w:tc>
        <w:tc>
          <w:tcPr>
            <w:tcW w:type="dxa" w:w="4533"/>
            <w:shd w:val="clear" w:color="auto" w:fill="0F4C81"/>
          </w:tcPr>
          <w:p>
            <w:pPr>
              <w:jc w:val="center"/>
            </w:pPr>
            <w:r>
              <w:rPr>
                <w:b/>
                <w:color w:val="FFFFFF"/>
                <w:sz w:val="22"/>
              </w:rPr>
              <w:t>Registration Number</w:t>
            </w:r>
          </w:p>
        </w:tc>
      </w:tr>
      <w:tr>
        <w:tc>
          <w:tcPr>
            <w:tcW w:type="dxa" w:w="4533"/>
            <w:shd w:val="clear" w:color="auto" w:fill="EEF3F9"/>
          </w:tcPr>
          <w:p>
            <w:pPr>
              <w:jc w:val="center"/>
            </w:pPr>
            <w:r>
              <w:rPr>
                <w:color w:val="1F2937"/>
                <w:sz w:val="22"/>
              </w:rPr>
              <w:t>Member Name 1</w:t>
            </w:r>
          </w:p>
        </w:tc>
        <w:tc>
          <w:tcPr>
            <w:tcW w:type="dxa" w:w="4533"/>
            <w:shd w:val="clear" w:color="auto" w:fill="EEF3F9"/>
          </w:tcPr>
          <w:p>
            <w:pPr>
              <w:jc w:val="center"/>
            </w:pPr>
            <w:r>
              <w:rPr>
                <w:color w:val="1F2937"/>
                <w:sz w:val="22"/>
              </w:rPr>
              <w:t>REG/XXXX/001</w:t>
            </w:r>
          </w:p>
        </w:tc>
      </w:tr>
      <w:tr>
        <w:tc>
          <w:tcPr>
            <w:tcW w:type="dxa" w:w="4533"/>
            <w:shd w:val="clear" w:color="auto" w:fill="FFFFFF"/>
          </w:tcPr>
          <w:p>
            <w:pPr>
              <w:jc w:val="center"/>
            </w:pPr>
            <w:r>
              <w:rPr>
                <w:color w:val="1F2937"/>
                <w:sz w:val="22"/>
              </w:rPr>
              <w:t>Member Name 2</w:t>
            </w:r>
          </w:p>
        </w:tc>
        <w:tc>
          <w:tcPr>
            <w:tcW w:type="dxa" w:w="4533"/>
            <w:shd w:val="clear" w:color="auto" w:fill="FFFFFF"/>
          </w:tcPr>
          <w:p>
            <w:pPr>
              <w:jc w:val="center"/>
            </w:pPr>
            <w:r>
              <w:rPr>
                <w:color w:val="1F2937"/>
                <w:sz w:val="22"/>
              </w:rPr>
              <w:t>REG/XXXX/002</w:t>
            </w:r>
          </w:p>
        </w:tc>
      </w:tr>
      <w:tr>
        <w:tc>
          <w:tcPr>
            <w:tcW w:type="dxa" w:w="4533"/>
            <w:shd w:val="clear" w:color="auto" w:fill="EEF3F9"/>
          </w:tcPr>
          <w:p>
            <w:pPr>
              <w:jc w:val="center"/>
            </w:pPr>
            <w:r>
              <w:rPr>
                <w:color w:val="1F2937"/>
                <w:sz w:val="22"/>
              </w:rPr>
              <w:t>Member Name 3</w:t>
            </w:r>
          </w:p>
        </w:tc>
        <w:tc>
          <w:tcPr>
            <w:tcW w:type="dxa" w:w="4533"/>
            <w:shd w:val="clear" w:color="auto" w:fill="EEF3F9"/>
          </w:tcPr>
          <w:p>
            <w:pPr>
              <w:jc w:val="center"/>
            </w:pPr>
            <w:r>
              <w:rPr>
                <w:color w:val="1F2937"/>
                <w:sz w:val="22"/>
              </w:rPr>
              <w:t>REG/XXXX/003</w:t>
            </w:r>
          </w:p>
        </w:tc>
      </w:tr>
      <w:tr>
        <w:tc>
          <w:tcPr>
            <w:tcW w:type="dxa" w:w="4533"/>
            <w:shd w:val="clear" w:color="auto" w:fill="FFFFFF"/>
          </w:tcPr>
          <w:p>
            <w:pPr>
              <w:jc w:val="center"/>
            </w:pPr>
            <w:r>
              <w:rPr>
                <w:color w:val="1F2937"/>
                <w:sz w:val="22"/>
              </w:rPr>
              <w:t>Member Name 4</w:t>
            </w:r>
          </w:p>
        </w:tc>
        <w:tc>
          <w:tcPr>
            <w:tcW w:type="dxa" w:w="4533"/>
            <w:shd w:val="clear" w:color="auto" w:fill="FFFFFF"/>
          </w:tcPr>
          <w:p>
            <w:pPr>
              <w:jc w:val="center"/>
            </w:pPr>
            <w:r>
              <w:rPr>
                <w:color w:val="1F2937"/>
                <w:sz w:val="22"/>
              </w:rPr>
              <w:t>REG/XXXX/004</w:t>
            </w:r>
          </w:p>
        </w:tc>
      </w:tr>
      <w:tr>
        <w:tc>
          <w:tcPr>
            <w:tcW w:type="dxa" w:w="4533"/>
            <w:shd w:val="clear" w:color="auto" w:fill="EEF3F9"/>
          </w:tcPr>
          <w:p>
            <w:pPr>
              <w:jc w:val="center"/>
            </w:pPr>
            <w:r>
              <w:rPr>
                <w:color w:val="1F2937"/>
                <w:sz w:val="22"/>
              </w:rPr>
              <w:t>Member Name 5</w:t>
            </w:r>
          </w:p>
        </w:tc>
        <w:tc>
          <w:tcPr>
            <w:tcW w:type="dxa" w:w="4533"/>
            <w:shd w:val="clear" w:color="auto" w:fill="EEF3F9"/>
          </w:tcPr>
          <w:p>
            <w:pPr>
              <w:jc w:val="center"/>
            </w:pPr>
            <w:r>
              <w:rPr>
                <w:color w:val="1F2937"/>
                <w:sz w:val="22"/>
              </w:rPr>
              <w:t>REG/XXXX/005</w:t>
            </w:r>
          </w:p>
        </w:tc>
      </w:tr>
    </w:tbl>
    <w:p/>
    <w:p>
      <w:pPr>
        <w:pBdr>
          <w:bottom w:val="single" w:sz="6" w:space="1" w:color="0F4C81"/>
        </w:pBdr>
        <w:spacing w:before="40" w:after="120"/>
      </w:pPr>
    </w:p>
    <w:p>
      <w:pPr>
        <w:jc w:val="center"/>
      </w:pPr>
      <w:r>
        <w:rPr>
          <w:i/>
          <w:color w:val="64748B"/>
          <w:sz w:val="22"/>
        </w:rPr>
        <w:t>Date: June 2026   |   Academic Year: 2025/2026</w:t>
      </w:r>
    </w:p>
    <w:p>
      <w:r>
        <w:br w:type="page"/>
      </w:r>
    </w:p>
    <w:p>
      <w:pPr>
        <w:pStyle w:val="Heading1"/>
        <w:spacing w:before="280" w:after="120"/>
      </w:pPr>
      <w:r>
        <w:rPr>
          <w:b/>
          <w:color w:val="0F4C81"/>
        </w:rPr>
        <w:t>Abstract</w:t>
      </w:r>
    </w:p>
    <w:p>
      <w:pPr>
        <w:pBdr>
          <w:bottom w:val="single" w:sz="6" w:space="1" w:color="0F4C81"/>
        </w:pBdr>
        <w:spacing w:before="40" w:after="120"/>
      </w:pPr>
    </w:p>
    <w:p>
      <w:pPr>
        <w:spacing w:before="40" w:after="80"/>
      </w:pPr>
      <w:r>
        <w:rPr>
          <w:color w:val="1F2937"/>
          <w:sz w:val="22"/>
        </w:rPr>
        <w:t>EduManage is a desktop-based education management system developed to centralize and streamline academic administration. The system manages students, teachers, courses, units, enrollments, and grades while providing reporting and analytics capabilities. This report presents the problem context, project objectives, system architecture, implementation details, operational workflow, and testing/evaluation outcomes. The final system uses a layered design, CSV persistence, and a feature-complete graphical interface with validated business rules and automated test coverage.</w:t>
      </w:r>
    </w:p>
    <w:p>
      <w:r>
        <w:br w:type="page"/>
      </w:r>
    </w:p>
    <w:p>
      <w:pPr>
        <w:pStyle w:val="Heading1"/>
        <w:spacing w:before="280" w:after="120"/>
      </w:pPr>
      <w:r>
        <w:rPr>
          <w:b/>
          <w:color w:val="0F4C81"/>
        </w:rPr>
        <w:t>Chapter 1: Problem Description and Justification</w:t>
      </w:r>
    </w:p>
    <w:p>
      <w:pPr>
        <w:pBdr>
          <w:bottom w:val="single" w:sz="6" w:space="1" w:color="0F4C81"/>
        </w:pBdr>
        <w:spacing w:before="40" w:after="120"/>
      </w:pPr>
    </w:p>
    <w:p>
      <w:pPr>
        <w:pStyle w:val="Heading2"/>
        <w:spacing w:before="280" w:after="120"/>
      </w:pPr>
      <w:r>
        <w:rPr>
          <w:b/>
          <w:color w:val="0F4C81"/>
        </w:rPr>
        <w:t>1.1 Background</w:t>
      </w:r>
    </w:p>
    <w:p>
      <w:pPr>
        <w:spacing w:before="40" w:after="80"/>
      </w:pPr>
      <w:r>
        <w:rPr>
          <w:color w:val="1F2937"/>
          <w:sz w:val="22"/>
        </w:rPr>
        <w:t>Educational organizations frequently rely on fragmented record-keeping methods such as spreadsheets, manual registers, and disconnected digital files. These practices increase operational risk and reduce administrative efficiency.</w:t>
      </w:r>
    </w:p>
    <w:p>
      <w:pPr>
        <w:pStyle w:val="Heading2"/>
        <w:spacing w:before="280" w:after="120"/>
      </w:pPr>
      <w:r>
        <w:rPr>
          <w:b/>
          <w:color w:val="0F4C81"/>
        </w:rPr>
        <w:t>1.2 Problem Statement</w:t>
      </w:r>
    </w:p>
    <w:p>
      <w:pPr>
        <w:spacing w:before="40" w:after="80"/>
      </w:pPr>
      <w:r>
        <w:rPr>
          <w:color w:val="1F2937"/>
          <w:sz w:val="22"/>
        </w:rPr>
        <w:t>The identified problems are:</w:t>
      </w:r>
    </w:p>
    <w:p>
      <w:pPr>
        <w:pStyle w:val="ListBullet"/>
        <w:spacing w:before="20" w:after="40"/>
        <w:ind w:left="283"/>
      </w:pPr>
      <w:r>
        <w:rPr>
          <w:color w:val="1F2937"/>
          <w:sz w:val="22"/>
        </w:rPr>
        <w:t>Record inconsistency across multiple data sources.</w:t>
      </w:r>
    </w:p>
    <w:p>
      <w:pPr>
        <w:pStyle w:val="ListBullet"/>
        <w:spacing w:before="20" w:after="40"/>
        <w:ind w:left="283"/>
      </w:pPr>
      <w:r>
        <w:rPr>
          <w:color w:val="1F2937"/>
          <w:sz w:val="22"/>
        </w:rPr>
        <w:t>Duplicate data entry and validation gaps.</w:t>
      </w:r>
    </w:p>
    <w:p>
      <w:pPr>
        <w:pStyle w:val="ListBullet"/>
        <w:spacing w:before="20" w:after="40"/>
        <w:ind w:left="283"/>
      </w:pPr>
      <w:r>
        <w:rPr>
          <w:color w:val="1F2937"/>
          <w:sz w:val="22"/>
        </w:rPr>
        <w:t>Difficulty in managing unit-level course progression.</w:t>
      </w:r>
    </w:p>
    <w:p>
      <w:pPr>
        <w:pStyle w:val="ListBullet"/>
        <w:spacing w:before="20" w:after="40"/>
        <w:ind w:left="283"/>
      </w:pPr>
      <w:r>
        <w:rPr>
          <w:color w:val="1F2937"/>
          <w:sz w:val="22"/>
        </w:rPr>
        <w:t>Limited visibility of teacher workload and grade distributions.</w:t>
      </w:r>
    </w:p>
    <w:p>
      <w:pPr>
        <w:pStyle w:val="ListBullet"/>
        <w:spacing w:before="20" w:after="40"/>
        <w:ind w:left="283"/>
      </w:pPr>
      <w:r>
        <w:rPr>
          <w:color w:val="1F2937"/>
          <w:sz w:val="22"/>
        </w:rPr>
        <w:t>Delayed transcript/report preparation and analytics reporting.</w:t>
      </w:r>
    </w:p>
    <w:p>
      <w:pPr>
        <w:pStyle w:val="Heading2"/>
        <w:spacing w:before="280" w:after="120"/>
      </w:pPr>
      <w:r>
        <w:rPr>
          <w:b/>
          <w:color w:val="0F4C81"/>
        </w:rPr>
        <w:t>1.3 Justification</w:t>
      </w:r>
    </w:p>
    <w:p>
      <w:pPr>
        <w:spacing w:before="40" w:after="80"/>
      </w:pPr>
      <w:r>
        <w:rPr>
          <w:color w:val="1F2937"/>
          <w:sz w:val="22"/>
        </w:rPr>
        <w:t>EduManage is justified as a centralized, maintainable, and practical desktop platform that:</w:t>
      </w:r>
    </w:p>
    <w:p>
      <w:pPr>
        <w:pStyle w:val="ListBullet"/>
        <w:spacing w:before="20" w:after="40"/>
        <w:ind w:left="283"/>
      </w:pPr>
      <w:r>
        <w:rPr>
          <w:color w:val="1F2937"/>
          <w:sz w:val="22"/>
        </w:rPr>
        <w:t>Enforces data integrity through business-rule validation.</w:t>
      </w:r>
    </w:p>
    <w:p>
      <w:pPr>
        <w:pStyle w:val="ListBullet"/>
        <w:spacing w:before="20" w:after="40"/>
        <w:ind w:left="283"/>
      </w:pPr>
      <w:r>
        <w:rPr>
          <w:color w:val="1F2937"/>
          <w:sz w:val="22"/>
        </w:rPr>
        <w:t>Provides end-to-end academic workflows in one interface.</w:t>
      </w:r>
    </w:p>
    <w:p>
      <w:pPr>
        <w:pStyle w:val="ListBullet"/>
        <w:spacing w:before="20" w:after="40"/>
        <w:ind w:left="283"/>
      </w:pPr>
      <w:r>
        <w:rPr>
          <w:color w:val="1F2937"/>
          <w:sz w:val="22"/>
        </w:rPr>
        <w:t>Supports professional report export and decision-support analytics.</w:t>
      </w:r>
    </w:p>
    <w:p>
      <w:pPr>
        <w:pStyle w:val="ListBullet"/>
        <w:spacing w:before="20" w:after="40"/>
        <w:ind w:left="283"/>
      </w:pPr>
      <w:r>
        <w:rPr>
          <w:color w:val="1F2937"/>
          <w:sz w:val="22"/>
        </w:rPr>
        <w:t>Preserves data in transparent, portable CSV format.</w:t>
      </w:r>
    </w:p>
    <w:p>
      <w:pPr>
        <w:pStyle w:val="Heading1"/>
        <w:spacing w:before="280" w:after="120"/>
      </w:pPr>
      <w:r>
        <w:rPr>
          <w:b/>
          <w:color w:val="0F4C81"/>
        </w:rPr>
        <w:t>Chapter 2: Objectives of the System</w:t>
      </w:r>
    </w:p>
    <w:p>
      <w:pPr>
        <w:pBdr>
          <w:bottom w:val="single" w:sz="6" w:space="1" w:color="0F4C81"/>
        </w:pBdr>
        <w:spacing w:before="40" w:after="120"/>
      </w:pPr>
    </w:p>
    <w:p>
      <w:pPr>
        <w:pStyle w:val="Heading2"/>
        <w:spacing w:before="280" w:after="120"/>
      </w:pPr>
      <w:r>
        <w:rPr>
          <w:b/>
          <w:color w:val="0F4C81"/>
        </w:rPr>
        <w:t>2.1 General Objective</w:t>
      </w:r>
    </w:p>
    <w:p>
      <w:pPr>
        <w:spacing w:before="40" w:after="80"/>
      </w:pPr>
      <w:r>
        <w:rPr>
          <w:color w:val="1F2937"/>
          <w:sz w:val="22"/>
        </w:rPr>
        <w:t>Develop a reliable education-management information system that consolidates student, teacher, course, enrollment, and reporting workflows.</w:t>
      </w:r>
    </w:p>
    <w:p>
      <w:pPr>
        <w:pStyle w:val="Heading2"/>
        <w:spacing w:before="280" w:after="120"/>
      </w:pPr>
      <w:r>
        <w:rPr>
          <w:b/>
          <w:color w:val="0F4C81"/>
        </w:rPr>
        <w:t>2.2 Specific Objectives</w:t>
      </w:r>
    </w:p>
    <w:p>
      <w:pPr>
        <w:pStyle w:val="ListNumber"/>
        <w:spacing w:before="20" w:after="40"/>
        <w:ind w:left="283"/>
      </w:pPr>
      <w:r>
        <w:rPr>
          <w:color w:val="1F2937"/>
          <w:sz w:val="22"/>
        </w:rPr>
        <w:t>Implement full CRUD operations for core entities (students, courses, teachers).</w:t>
      </w:r>
    </w:p>
    <w:p>
      <w:pPr>
        <w:pStyle w:val="ListNumber"/>
        <w:spacing w:before="20" w:after="40"/>
        <w:ind w:left="283"/>
      </w:pPr>
      <w:r>
        <w:rPr>
          <w:color w:val="1F2937"/>
          <w:sz w:val="22"/>
        </w:rPr>
        <w:t>Model unit-based course structures and enforce globally unique unit IDs.</w:t>
      </w:r>
    </w:p>
    <w:p>
      <w:pPr>
        <w:pStyle w:val="ListNumber"/>
        <w:spacing w:before="20" w:after="40"/>
        <w:ind w:left="283"/>
      </w:pPr>
      <w:r>
        <w:rPr>
          <w:color w:val="1F2937"/>
          <w:sz w:val="22"/>
        </w:rPr>
        <w:t>Support teacher assignment at both course and unit levels.</w:t>
      </w:r>
    </w:p>
    <w:p>
      <w:pPr>
        <w:pStyle w:val="ListNumber"/>
        <w:spacing w:before="20" w:after="40"/>
        <w:ind w:left="283"/>
      </w:pPr>
      <w:r>
        <w:rPr>
          <w:color w:val="1F2937"/>
          <w:sz w:val="22"/>
        </w:rPr>
        <w:t>Enable unit-level enrollment and grading workflows.</w:t>
      </w:r>
    </w:p>
    <w:p>
      <w:pPr>
        <w:pStyle w:val="ListNumber"/>
        <w:spacing w:before="20" w:after="40"/>
        <w:ind w:left="283"/>
      </w:pPr>
      <w:r>
        <w:rPr>
          <w:color w:val="1F2937"/>
          <w:sz w:val="22"/>
        </w:rPr>
        <w:t>Compute weighted course GPA and overall CGPA automatically.</w:t>
      </w:r>
    </w:p>
    <w:p>
      <w:pPr>
        <w:pStyle w:val="ListNumber"/>
        <w:spacing w:before="20" w:after="40"/>
        <w:ind w:left="283"/>
      </w:pPr>
      <w:r>
        <w:rPr>
          <w:color w:val="1F2937"/>
          <w:sz w:val="22"/>
        </w:rPr>
        <w:t>Provide polished report preview and professional PDF export.</w:t>
      </w:r>
    </w:p>
    <w:p>
      <w:pPr>
        <w:pStyle w:val="ListNumber"/>
        <w:spacing w:before="20" w:after="40"/>
        <w:ind w:left="283"/>
      </w:pPr>
      <w:r>
        <w:rPr>
          <w:color w:val="1F2937"/>
          <w:sz w:val="22"/>
        </w:rPr>
        <w:t>Provide analytics for enrollment, grades, and workload.</w:t>
      </w:r>
    </w:p>
    <w:p>
      <w:pPr>
        <w:pStyle w:val="ListNumber"/>
        <w:spacing w:before="20" w:after="40"/>
        <w:ind w:left="283"/>
      </w:pPr>
      <w:r>
        <w:rPr>
          <w:color w:val="1F2937"/>
          <w:sz w:val="22"/>
        </w:rPr>
        <w:t>Validate functionality using positive and negative automated test suites.</w:t>
      </w:r>
    </w:p>
    <w:p>
      <w:pPr>
        <w:pStyle w:val="Heading1"/>
        <w:spacing w:before="280" w:after="120"/>
      </w:pPr>
      <w:r>
        <w:rPr>
          <w:b/>
          <w:color w:val="0F4C81"/>
        </w:rPr>
        <w:t>Chapter 3: System Design</w:t>
      </w:r>
    </w:p>
    <w:p>
      <w:pPr>
        <w:pBdr>
          <w:bottom w:val="single" w:sz="6" w:space="1" w:color="0F4C81"/>
        </w:pBdr>
        <w:spacing w:before="40" w:after="120"/>
      </w:pPr>
    </w:p>
    <w:p>
      <w:pPr>
        <w:pStyle w:val="Heading2"/>
        <w:spacing w:before="280" w:after="120"/>
      </w:pPr>
      <w:r>
        <w:rPr>
          <w:b/>
          <w:color w:val="0F4C81"/>
        </w:rPr>
        <w:t>3.1 Architectural Overview</w:t>
      </w:r>
    </w:p>
    <w:p>
      <w:pPr>
        <w:spacing w:before="40" w:after="80"/>
      </w:pPr>
      <w:r>
        <w:rPr>
          <w:color w:val="1F2937"/>
          <w:sz w:val="22"/>
        </w:rPr>
        <w:t>EduManage follows a four-layer architecture. Each layer has a single responsibility and interacts only with adjacent layers:</w:t>
      </w:r>
    </w:p>
    <w:tbl>
      <w:tblPr>
        <w:tblStyle w:val="TableGrid"/>
        <w:tblW w:type="auto" w:w="0"/>
        <w:tblLook w:firstColumn="1" w:firstRow="1" w:lastColumn="0" w:lastRow="0" w:noHBand="0" w:noVBand="1" w:val="04A0"/>
      </w:tblPr>
      <w:tblGrid>
        <w:gridCol w:w="4533"/>
        <w:gridCol w:w="4533"/>
      </w:tblGrid>
      <w:tr>
        <w:tc>
          <w:tcPr>
            <w:tcW w:type="dxa" w:w="4533"/>
            <w:shd w:val="clear" w:color="auto" w:fill="0F4C81"/>
          </w:tcPr>
          <w:p>
            <w:r>
              <w:rPr>
                <w:b/>
                <w:color w:val="FFFFFF"/>
                <w:sz w:val="22"/>
              </w:rPr>
              <w:t>Presentation Layer</w:t>
            </w:r>
          </w:p>
        </w:tc>
        <w:tc>
          <w:tcPr>
            <w:tcW w:type="dxa" w:w="4533"/>
          </w:tcPr>
          <w:p>
            <w:r>
              <w:rPr>
                <w:color w:val="1F2937"/>
                <w:sz w:val="22"/>
              </w:rPr>
              <w:t>CustomTkinter GUI — handles all user interaction and display.</w:t>
            </w:r>
          </w:p>
        </w:tc>
      </w:tr>
      <w:tr>
        <w:tc>
          <w:tcPr>
            <w:tcW w:type="dxa" w:w="4533"/>
            <w:shd w:val="clear" w:color="auto" w:fill="EEF3F9"/>
          </w:tcPr>
          <w:p>
            <w:r>
              <w:rPr>
                <w:b/>
                <w:color w:val="0F4C81"/>
                <w:sz w:val="22"/>
              </w:rPr>
              <w:t>Application Logic Layer</w:t>
            </w:r>
          </w:p>
        </w:tc>
        <w:tc>
          <w:tcPr>
            <w:tcW w:type="dxa" w:w="4533"/>
          </w:tcPr>
          <w:p>
            <w:r>
              <w:rPr>
                <w:color w:val="1F2937"/>
                <w:sz w:val="22"/>
              </w:rPr>
              <w:t>GUI event handlers — translates user actions into service calls.</w:t>
            </w:r>
          </w:p>
        </w:tc>
      </w:tr>
      <w:tr>
        <w:tc>
          <w:tcPr>
            <w:tcW w:type="dxa" w:w="4533"/>
            <w:shd w:val="clear" w:color="auto" w:fill="0F4C81"/>
          </w:tcPr>
          <w:p>
            <w:r>
              <w:rPr>
                <w:b/>
                <w:color w:val="FFFFFF"/>
                <w:sz w:val="22"/>
              </w:rPr>
              <w:t>Business Logic Layer</w:t>
            </w:r>
          </w:p>
        </w:tc>
        <w:tc>
          <w:tcPr>
            <w:tcW w:type="dxa" w:w="4533"/>
          </w:tcPr>
          <w:p>
            <w:r>
              <w:rPr>
                <w:color w:val="1F2937"/>
                <w:sz w:val="22"/>
              </w:rPr>
              <w:t>EducationSystem (system.py) — enforces rules, computes results.</w:t>
            </w:r>
          </w:p>
        </w:tc>
      </w:tr>
      <w:tr>
        <w:tc>
          <w:tcPr>
            <w:tcW w:type="dxa" w:w="4533"/>
            <w:shd w:val="clear" w:color="auto" w:fill="EEF3F9"/>
          </w:tcPr>
          <w:p>
            <w:r>
              <w:rPr>
                <w:b/>
                <w:color w:val="0F4C81"/>
                <w:sz w:val="22"/>
              </w:rPr>
              <w:t>Persistence Layer</w:t>
            </w:r>
          </w:p>
        </w:tc>
        <w:tc>
          <w:tcPr>
            <w:tcW w:type="dxa" w:w="4533"/>
          </w:tcPr>
          <w:p>
            <w:r>
              <w:rPr>
                <w:color w:val="1F2937"/>
                <w:sz w:val="22"/>
              </w:rPr>
              <w:t>CSV + JSON column files — durable storage and reconstruction.</w:t>
            </w:r>
          </w:p>
        </w:tc>
      </w:tr>
    </w:tbl>
    <w:p/>
    <w:p>
      <w:pPr>
        <w:pStyle w:val="Heading2"/>
        <w:spacing w:before="280" w:after="120"/>
      </w:pPr>
      <w:r>
        <w:rPr>
          <w:b/>
          <w:color w:val="0F4C81"/>
        </w:rPr>
        <w:t>3.2 Design Rationale</w:t>
      </w:r>
    </w:p>
    <w:p>
      <w:pPr>
        <w:pStyle w:val="ListBullet"/>
        <w:spacing w:before="20" w:after="40"/>
        <w:ind w:left="283"/>
      </w:pPr>
      <w:r>
        <w:rPr>
          <w:color w:val="1F2937"/>
          <w:sz w:val="22"/>
        </w:rPr>
        <w:t>GUI handles interaction and presentation only.</w:t>
      </w:r>
    </w:p>
    <w:p>
      <w:pPr>
        <w:pStyle w:val="ListBullet"/>
        <w:spacing w:before="20" w:after="40"/>
        <w:ind w:left="283"/>
      </w:pPr>
      <w:r>
        <w:rPr>
          <w:color w:val="1F2937"/>
          <w:sz w:val="22"/>
        </w:rPr>
        <w:t>EducationSystem encapsulates business rules and operations.</w:t>
      </w:r>
    </w:p>
    <w:p>
      <w:pPr>
        <w:pStyle w:val="ListBullet"/>
        <w:spacing w:before="20" w:after="40"/>
        <w:ind w:left="283"/>
      </w:pPr>
      <w:r>
        <w:rPr>
          <w:color w:val="1F2937"/>
          <w:sz w:val="22"/>
        </w:rPr>
        <w:t>models.py captures domain entities and reusable behavior.</w:t>
      </w:r>
    </w:p>
    <w:p>
      <w:pPr>
        <w:pStyle w:val="ListBullet"/>
        <w:spacing w:before="20" w:after="40"/>
        <w:ind w:left="283"/>
      </w:pPr>
      <w:r>
        <w:rPr>
          <w:color w:val="1F2937"/>
          <w:sz w:val="22"/>
        </w:rPr>
        <w:t>CSV files provide persistent storage with simple portability.</w:t>
      </w:r>
    </w:p>
    <w:p>
      <w:pPr>
        <w:pStyle w:val="Heading2"/>
        <w:spacing w:before="280" w:after="120"/>
      </w:pPr>
      <w:r>
        <w:rPr>
          <w:b/>
          <w:color w:val="0F4C81"/>
        </w:rPr>
        <w:t>3.3 Structural Components</w:t>
      </w:r>
    </w:p>
    <w:tbl>
      <w:tblPr>
        <w:tblStyle w:val="TableGrid"/>
        <w:tblW w:type="auto" w:w="0"/>
        <w:tblLook w:firstColumn="1" w:firstRow="1" w:lastColumn="0" w:lastRow="0" w:noHBand="0" w:noVBand="1" w:val="04A0"/>
      </w:tblPr>
      <w:tblGrid>
        <w:gridCol w:w="4533"/>
        <w:gridCol w:w="4533"/>
      </w:tblGrid>
      <w:tr>
        <w:tc>
          <w:tcPr>
            <w:tcW w:type="dxa" w:w="4533"/>
            <w:shd w:val="clear" w:color="auto" w:fill="EEF3F9"/>
          </w:tcPr>
          <w:p>
            <w:r>
              <w:rPr>
                <w:rFonts w:ascii="Courier New" w:hAnsi="Courier New"/>
                <w:b/>
                <w:color w:val="0F4C81"/>
                <w:sz w:val="20"/>
              </w:rPr>
              <w:t>gui_main.py</w:t>
            </w:r>
          </w:p>
        </w:tc>
        <w:tc>
          <w:tcPr>
            <w:tcW w:type="dxa" w:w="4533"/>
          </w:tcPr>
          <w:p>
            <w:r>
              <w:rPr>
                <w:color w:val="1F2937"/>
                <w:sz w:val="22"/>
              </w:rPr>
              <w:t>Theme handling, tab creation, form interaction, data display, report generation, PDF export, Matplotlib rendering.</w:t>
            </w:r>
          </w:p>
        </w:tc>
      </w:tr>
      <w:tr>
        <w:tc>
          <w:tcPr>
            <w:tcW w:type="dxa" w:w="4533"/>
            <w:shd w:val="clear" w:color="auto" w:fill="EEF3F9"/>
          </w:tcPr>
          <w:p>
            <w:r>
              <w:rPr>
                <w:rFonts w:ascii="Courier New" w:hAnsi="Courier New"/>
                <w:b/>
                <w:color w:val="0F4C81"/>
                <w:sz w:val="20"/>
              </w:rPr>
              <w:t>system.py</w:t>
            </w:r>
          </w:p>
        </w:tc>
        <w:tc>
          <w:tcPr>
            <w:tcW w:type="dxa" w:w="4533"/>
          </w:tcPr>
          <w:p>
            <w:r>
              <w:rPr>
                <w:color w:val="1F2937"/>
                <w:sz w:val="22"/>
              </w:rPr>
              <w:t>Service-layer methods for CRUD, assignment, enrollment, grading, analytics, and persistence.</w:t>
            </w:r>
          </w:p>
        </w:tc>
      </w:tr>
      <w:tr>
        <w:tc>
          <w:tcPr>
            <w:tcW w:type="dxa" w:w="4533"/>
            <w:shd w:val="clear" w:color="auto" w:fill="EEF3F9"/>
          </w:tcPr>
          <w:p>
            <w:r>
              <w:rPr>
                <w:rFonts w:ascii="Courier New" w:hAnsi="Courier New"/>
                <w:b/>
                <w:color w:val="0F4C81"/>
                <w:sz w:val="20"/>
              </w:rPr>
              <w:t>models.py</w:t>
            </w:r>
          </w:p>
        </w:tc>
        <w:tc>
          <w:tcPr>
            <w:tcW w:type="dxa" w:w="4533"/>
          </w:tcPr>
          <w:p>
            <w:r>
              <w:rPr>
                <w:color w:val="1F2937"/>
                <w:sz w:val="22"/>
              </w:rPr>
              <w:t>Class definitions and entity-level methods (Person, Student, Teacher, Course, Unit).</w:t>
            </w:r>
          </w:p>
        </w:tc>
      </w:tr>
      <w:tr>
        <w:tc>
          <w:tcPr>
            <w:tcW w:type="dxa" w:w="4533"/>
            <w:shd w:val="clear" w:color="auto" w:fill="EEF3F9"/>
          </w:tcPr>
          <w:p>
            <w:r>
              <w:rPr>
                <w:rFonts w:ascii="Courier New" w:hAnsi="Courier New"/>
                <w:b/>
                <w:color w:val="0F4C81"/>
                <w:sz w:val="20"/>
              </w:rPr>
              <w:t>Data_Storage(CSV)</w:t>
            </w:r>
          </w:p>
        </w:tc>
        <w:tc>
          <w:tcPr>
            <w:tcW w:type="dxa" w:w="4533"/>
          </w:tcPr>
          <w:p>
            <w:r>
              <w:rPr>
                <w:color w:val="1F2937"/>
                <w:sz w:val="22"/>
              </w:rPr>
              <w:t>Runtime durable CSV data files.</w:t>
            </w:r>
          </w:p>
        </w:tc>
      </w:tr>
      <w:tr>
        <w:tc>
          <w:tcPr>
            <w:tcW w:type="dxa" w:w="4533"/>
            <w:shd w:val="clear" w:color="auto" w:fill="EEF3F9"/>
          </w:tcPr>
          <w:p>
            <w:r>
              <w:rPr>
                <w:rFonts w:ascii="Courier New" w:hAnsi="Courier New"/>
                <w:b/>
                <w:color w:val="0F4C81"/>
                <w:sz w:val="20"/>
              </w:rPr>
              <w:t>tests/</w:t>
            </w:r>
          </w:p>
        </w:tc>
        <w:tc>
          <w:tcPr>
            <w:tcW w:type="dxa" w:w="4533"/>
          </w:tcPr>
          <w:p>
            <w:r>
              <w:rPr>
                <w:color w:val="1F2937"/>
                <w:sz w:val="22"/>
              </w:rPr>
              <w:t>Automated system and negative-path verification (26 tests total).</w:t>
            </w:r>
          </w:p>
        </w:tc>
      </w:tr>
    </w:tbl>
    <w:p/>
    <w:p>
      <w:pPr>
        <w:pStyle w:val="Heading2"/>
        <w:spacing w:before="280" w:after="120"/>
      </w:pPr>
      <w:r>
        <w:rPr>
          <w:b/>
          <w:color w:val="0F4C81"/>
        </w:rPr>
        <w:t>3.4 Core Process Flows</w:t>
      </w:r>
    </w:p>
    <w:p>
      <w:pPr>
        <w:pStyle w:val="Heading3"/>
        <w:spacing w:before="280" w:after="120"/>
      </w:pPr>
      <w:r>
        <w:rPr>
          <w:b/>
          <w:color w:val="0F4C81"/>
        </w:rPr>
        <w:t>3.4.1 Enrollment and Grading Flow</w:t>
      </w:r>
    </w:p>
    <w:p>
      <w:pPr>
        <w:pStyle w:val="ListNumber"/>
        <w:spacing w:before="20" w:after="40"/>
        <w:ind w:left="283"/>
      </w:pPr>
      <w:r>
        <w:rPr>
          <w:color w:val="1F2937"/>
          <w:sz w:val="22"/>
        </w:rPr>
        <w:t>Select Student / Course / Unit from GUI controls.</w:t>
      </w:r>
    </w:p>
    <w:p>
      <w:pPr>
        <w:pStyle w:val="ListNumber"/>
        <w:spacing w:before="20" w:after="40"/>
        <w:ind w:left="283"/>
      </w:pPr>
      <w:r>
        <w:rPr>
          <w:color w:val="1F2937"/>
          <w:sz w:val="22"/>
        </w:rPr>
        <w:t>Validate references and state (EducationSystem).</w:t>
      </w:r>
    </w:p>
    <w:p>
      <w:pPr>
        <w:pStyle w:val="ListNumber"/>
        <w:spacing w:before="20" w:after="40"/>
        <w:ind w:left="283"/>
      </w:pPr>
      <w:r>
        <w:rPr>
          <w:color w:val="1F2937"/>
          <w:sz w:val="22"/>
        </w:rPr>
        <w:t>Enroll unit.</w:t>
      </w:r>
    </w:p>
    <w:p>
      <w:pPr>
        <w:pStyle w:val="ListNumber"/>
        <w:spacing w:before="20" w:after="40"/>
        <w:ind w:left="283"/>
      </w:pPr>
      <w:r>
        <w:rPr>
          <w:color w:val="1F2937"/>
          <w:sz w:val="22"/>
        </w:rPr>
        <w:t>Assign unit grade.</w:t>
      </w:r>
    </w:p>
    <w:p>
      <w:pPr>
        <w:pStyle w:val="ListNumber"/>
        <w:spacing w:before="20" w:after="40"/>
        <w:ind w:left="283"/>
      </w:pPr>
      <w:r>
        <w:rPr>
          <w:color w:val="1F2937"/>
          <w:sz w:val="22"/>
        </w:rPr>
        <w:t>Map grade → letter → GPA points.</w:t>
      </w:r>
    </w:p>
    <w:p>
      <w:pPr>
        <w:pStyle w:val="ListNumber"/>
        <w:spacing w:before="20" w:after="40"/>
        <w:ind w:left="283"/>
      </w:pPr>
      <w:r>
        <w:rPr>
          <w:color w:val="1F2937"/>
          <w:sz w:val="22"/>
        </w:rPr>
        <w:t>Build report data and analytics.</w:t>
      </w:r>
    </w:p>
    <w:p>
      <w:pPr>
        <w:pStyle w:val="ListNumber"/>
        <w:spacing w:before="20" w:after="40"/>
        <w:ind w:left="283"/>
      </w:pPr>
      <w:r>
        <w:rPr>
          <w:color w:val="1F2937"/>
          <w:sz w:val="22"/>
        </w:rPr>
        <w:t>Save to CSV.</w:t>
      </w:r>
    </w:p>
    <w:p>
      <w:pPr>
        <w:pStyle w:val="Heading3"/>
        <w:spacing w:before="280" w:after="120"/>
      </w:pPr>
      <w:r>
        <w:rPr>
          <w:b/>
          <w:color w:val="0F4C81"/>
        </w:rPr>
        <w:t>3.4.2 Reporting Flow</w:t>
      </w:r>
    </w:p>
    <w:p>
      <w:pPr>
        <w:pStyle w:val="ListNumber"/>
        <w:spacing w:before="20" w:after="40"/>
        <w:ind w:left="283"/>
      </w:pPr>
      <w:r>
        <w:rPr>
          <w:color w:val="1F2937"/>
          <w:sz w:val="22"/>
        </w:rPr>
        <w:t>Choose student from dropdown.</w:t>
      </w:r>
    </w:p>
    <w:p>
      <w:pPr>
        <w:pStyle w:val="ListNumber"/>
        <w:spacing w:before="20" w:after="40"/>
        <w:ind w:left="283"/>
      </w:pPr>
      <w:r>
        <w:rPr>
          <w:color w:val="1F2937"/>
          <w:sz w:val="22"/>
        </w:rPr>
        <w:t>Collect enrolled courses and units from student record.</w:t>
      </w:r>
    </w:p>
    <w:p>
      <w:pPr>
        <w:pStyle w:val="ListNumber"/>
        <w:spacing w:before="20" w:after="40"/>
        <w:ind w:left="283"/>
      </w:pPr>
      <w:r>
        <w:rPr>
          <w:color w:val="1F2937"/>
          <w:sz w:val="22"/>
        </w:rPr>
        <w:t>Compute weighted GPA per course and overall CGPA.</w:t>
      </w:r>
    </w:p>
    <w:p>
      <w:pPr>
        <w:pStyle w:val="ListNumber"/>
        <w:spacing w:before="20" w:after="40"/>
        <w:ind w:left="283"/>
      </w:pPr>
      <w:r>
        <w:rPr>
          <w:color w:val="1F2937"/>
          <w:sz w:val="22"/>
        </w:rPr>
        <w:t>Render preview text in GUI textbox.</w:t>
      </w:r>
    </w:p>
    <w:p>
      <w:pPr>
        <w:pStyle w:val="ListNumber"/>
        <w:spacing w:before="20" w:after="40"/>
        <w:ind w:left="283"/>
      </w:pPr>
      <w:r>
        <w:rPr>
          <w:color w:val="1F2937"/>
          <w:sz w:val="22"/>
        </w:rPr>
        <w:t>Export styled PDF via ReportLab (branded layout, grade badges, signature, footer).</w:t>
      </w:r>
    </w:p>
    <w:p>
      <w:pPr>
        <w:pStyle w:val="Heading1"/>
        <w:spacing w:before="280" w:after="120"/>
      </w:pPr>
      <w:r>
        <w:rPr>
          <w:b/>
          <w:color w:val="0F4C81"/>
        </w:rPr>
        <w:t>Chapter 4: Implementation Details</w:t>
      </w:r>
    </w:p>
    <w:p>
      <w:pPr>
        <w:pBdr>
          <w:bottom w:val="single" w:sz="6" w:space="1" w:color="0F4C81"/>
        </w:pBdr>
        <w:spacing w:before="40" w:after="120"/>
      </w:pPr>
    </w:p>
    <w:p>
      <w:pPr>
        <w:pStyle w:val="Heading2"/>
        <w:spacing w:before="280" w:after="120"/>
      </w:pPr>
      <w:r>
        <w:rPr>
          <w:b/>
          <w:color w:val="0F4C81"/>
        </w:rPr>
        <w:t>4.1 Technology Stack</w:t>
      </w:r>
    </w:p>
    <w:tbl>
      <w:tblPr>
        <w:tblStyle w:val="TableGrid"/>
        <w:tblW w:type="auto" w:w="0"/>
        <w:tblLook w:firstColumn="1" w:firstRow="1" w:lastColumn="0" w:lastRow="0" w:noHBand="0" w:noVBand="1" w:val="04A0"/>
      </w:tblPr>
      <w:tblGrid>
        <w:gridCol w:w="4533"/>
        <w:gridCol w:w="4533"/>
      </w:tblGrid>
      <w:tr>
        <w:tc>
          <w:tcPr>
            <w:tcW w:type="dxa" w:w="4533"/>
            <w:shd w:val="clear" w:color="auto" w:fill="0F4C81"/>
          </w:tcPr>
          <w:p>
            <w:r>
              <w:rPr>
                <w:b/>
                <w:color w:val="FFFFFF"/>
                <w:sz w:val="22"/>
              </w:rPr>
              <w:t>Python</w:t>
            </w:r>
          </w:p>
        </w:tc>
        <w:tc>
          <w:tcPr>
            <w:tcW w:type="dxa" w:w="4533"/>
          </w:tcPr>
          <w:p>
            <w:r>
              <w:rPr>
                <w:sz w:val="22"/>
              </w:rPr>
              <w:t>Core implementation language.</w:t>
            </w:r>
          </w:p>
        </w:tc>
      </w:tr>
      <w:tr>
        <w:tc>
          <w:tcPr>
            <w:tcW w:type="dxa" w:w="4533"/>
            <w:shd w:val="clear" w:color="auto" w:fill="EEF3F9"/>
          </w:tcPr>
          <w:p>
            <w:r>
              <w:rPr>
                <w:b/>
                <w:color w:val="0F4C81"/>
                <w:sz w:val="22"/>
              </w:rPr>
              <w:t>CustomTkinter / tkinter / ttk</w:t>
            </w:r>
          </w:p>
        </w:tc>
        <w:tc>
          <w:tcPr>
            <w:tcW w:type="dxa" w:w="4533"/>
          </w:tcPr>
          <w:p>
            <w:r>
              <w:rPr>
                <w:sz w:val="22"/>
              </w:rPr>
              <w:t>UI components and table views.</w:t>
            </w:r>
          </w:p>
        </w:tc>
      </w:tr>
      <w:tr>
        <w:tc>
          <w:tcPr>
            <w:tcW w:type="dxa" w:w="4533"/>
            <w:shd w:val="clear" w:color="auto" w:fill="0F4C81"/>
          </w:tcPr>
          <w:p>
            <w:r>
              <w:rPr>
                <w:b/>
                <w:color w:val="FFFFFF"/>
                <w:sz w:val="22"/>
              </w:rPr>
              <w:t>Matplotlib</w:t>
            </w:r>
          </w:p>
        </w:tc>
        <w:tc>
          <w:tcPr>
            <w:tcW w:type="dxa" w:w="4533"/>
          </w:tcPr>
          <w:p>
            <w:r>
              <w:rPr>
                <w:sz w:val="22"/>
              </w:rPr>
              <w:t>Embedded analytics charts.</w:t>
            </w:r>
          </w:p>
        </w:tc>
      </w:tr>
      <w:tr>
        <w:tc>
          <w:tcPr>
            <w:tcW w:type="dxa" w:w="4533"/>
            <w:shd w:val="clear" w:color="auto" w:fill="EEF3F9"/>
          </w:tcPr>
          <w:p>
            <w:r>
              <w:rPr>
                <w:b/>
                <w:color w:val="0F4C81"/>
                <w:sz w:val="22"/>
              </w:rPr>
              <w:t>ReportLab</w:t>
            </w:r>
          </w:p>
        </w:tc>
        <w:tc>
          <w:tcPr>
            <w:tcW w:type="dxa" w:w="4533"/>
          </w:tcPr>
          <w:p>
            <w:r>
              <w:rPr>
                <w:sz w:val="22"/>
              </w:rPr>
              <w:t>Professional PDF report export.</w:t>
            </w:r>
          </w:p>
        </w:tc>
      </w:tr>
      <w:tr>
        <w:tc>
          <w:tcPr>
            <w:tcW w:type="dxa" w:w="4533"/>
            <w:shd w:val="clear" w:color="auto" w:fill="0F4C81"/>
          </w:tcPr>
          <w:p>
            <w:r>
              <w:rPr>
                <w:b/>
                <w:color w:val="FFFFFF"/>
                <w:sz w:val="22"/>
              </w:rPr>
              <w:t>Pytest</w:t>
            </w:r>
          </w:p>
        </w:tc>
        <w:tc>
          <w:tcPr>
            <w:tcW w:type="dxa" w:w="4533"/>
          </w:tcPr>
          <w:p>
            <w:r>
              <w:rPr>
                <w:sz w:val="22"/>
              </w:rPr>
              <w:t>Automated testing.</w:t>
            </w:r>
          </w:p>
        </w:tc>
      </w:tr>
      <w:tr>
        <w:tc>
          <w:tcPr>
            <w:tcW w:type="dxa" w:w="4533"/>
            <w:shd w:val="clear" w:color="auto" w:fill="EEF3F9"/>
          </w:tcPr>
          <w:p>
            <w:r>
              <w:rPr>
                <w:b/>
                <w:color w:val="0F4C81"/>
                <w:sz w:val="22"/>
              </w:rPr>
              <w:t>CSV + JSON</w:t>
            </w:r>
          </w:p>
        </w:tc>
        <w:tc>
          <w:tcPr>
            <w:tcW w:type="dxa" w:w="4533"/>
          </w:tcPr>
          <w:p>
            <w:r>
              <w:rPr>
                <w:sz w:val="22"/>
              </w:rPr>
              <w:t>Persistent data representation.</w:t>
            </w:r>
          </w:p>
        </w:tc>
      </w:tr>
      <w:tr>
        <w:tc>
          <w:tcPr>
            <w:tcW w:type="dxa" w:w="4533"/>
            <w:shd w:val="clear" w:color="auto" w:fill="0F4C81"/>
          </w:tcPr>
          <w:p>
            <w:r>
              <w:rPr>
                <w:b/>
                <w:color w:val="FFFFFF"/>
                <w:sz w:val="22"/>
              </w:rPr>
              <w:t>python-docx</w:t>
            </w:r>
          </w:p>
        </w:tc>
        <w:tc>
          <w:tcPr>
            <w:tcW w:type="dxa" w:w="4533"/>
          </w:tcPr>
          <w:p>
            <w:r>
              <w:rPr>
                <w:sz w:val="22"/>
              </w:rPr>
              <w:t>Word document generation.</w:t>
            </w:r>
          </w:p>
        </w:tc>
      </w:tr>
    </w:tbl>
    <w:p/>
    <w:p>
      <w:pPr>
        <w:pStyle w:val="Heading2"/>
        <w:spacing w:before="280" w:after="120"/>
      </w:pPr>
      <w:r>
        <w:rPr>
          <w:b/>
          <w:color w:val="0F4C81"/>
        </w:rPr>
        <w:t>4.2 Domain Model Implementation</w:t>
      </w:r>
    </w:p>
    <w:tbl>
      <w:tblPr>
        <w:tblStyle w:val="TableGrid"/>
        <w:tblW w:type="auto" w:w="0"/>
        <w:tblLook w:firstColumn="1" w:firstRow="1" w:lastColumn="0" w:lastRow="0" w:noHBand="0" w:noVBand="1" w:val="04A0"/>
      </w:tblPr>
      <w:tblGrid>
        <w:gridCol w:w="4533"/>
        <w:gridCol w:w="4533"/>
      </w:tblGrid>
      <w:tr>
        <w:tc>
          <w:tcPr>
            <w:tcW w:type="dxa" w:w="4533"/>
            <w:shd w:val="clear" w:color="auto" w:fill="EEF3F9"/>
          </w:tcPr>
          <w:p>
            <w:r>
              <w:rPr>
                <w:b/>
                <w:color w:val="0F4C81"/>
                <w:sz w:val="22"/>
              </w:rPr>
              <w:t>Person</w:t>
            </w:r>
          </w:p>
        </w:tc>
        <w:tc>
          <w:tcPr>
            <w:tcW w:type="dxa" w:w="4533"/>
          </w:tcPr>
          <w:p>
            <w:r>
              <w:rPr>
                <w:sz w:val="22"/>
              </w:rPr>
              <w:t>Base class with person_id, name, email. Enforces email format via regex.</w:t>
            </w:r>
          </w:p>
        </w:tc>
      </w:tr>
      <w:tr>
        <w:tc>
          <w:tcPr>
            <w:tcW w:type="dxa" w:w="4533"/>
            <w:shd w:val="clear" w:color="auto" w:fill="EEF3F9"/>
          </w:tcPr>
          <w:p>
            <w:r>
              <w:rPr>
                <w:b/>
                <w:color w:val="0F4C81"/>
                <w:sz w:val="22"/>
              </w:rPr>
              <w:t>Student</w:t>
            </w:r>
          </w:p>
        </w:tc>
        <w:tc>
          <w:tcPr>
            <w:tcW w:type="dxa" w:w="4533"/>
          </w:tcPr>
          <w:p>
            <w:r>
              <w:rPr>
                <w:sz w:val="22"/>
              </w:rPr>
              <w:t>Stores unit-level enrollment dict by course. Supports enrollment and grade assignment.</w:t>
            </w:r>
          </w:p>
        </w:tc>
      </w:tr>
      <w:tr>
        <w:tc>
          <w:tcPr>
            <w:tcW w:type="dxa" w:w="4533"/>
            <w:shd w:val="clear" w:color="auto" w:fill="EEF3F9"/>
          </w:tcPr>
          <w:p>
            <w:r>
              <w:rPr>
                <w:b/>
                <w:color w:val="0F4C81"/>
                <w:sz w:val="22"/>
              </w:rPr>
              <w:t>Teacher</w:t>
            </w:r>
          </w:p>
        </w:tc>
        <w:tc>
          <w:tcPr>
            <w:tcW w:type="dxa" w:w="4533"/>
          </w:tcPr>
          <w:p>
            <w:r>
              <w:rPr>
                <w:sz w:val="22"/>
              </w:rPr>
              <w:t>Stores department, assigned_courses, and taught_units mappings.</w:t>
            </w:r>
          </w:p>
        </w:tc>
      </w:tr>
      <w:tr>
        <w:tc>
          <w:tcPr>
            <w:tcW w:type="dxa" w:w="4533"/>
            <w:shd w:val="clear" w:color="auto" w:fill="EEF3F9"/>
          </w:tcPr>
          <w:p>
            <w:r>
              <w:rPr>
                <w:b/>
                <w:color w:val="0F4C81"/>
                <w:sz w:val="22"/>
              </w:rPr>
              <w:t>Course</w:t>
            </w:r>
          </w:p>
        </w:tc>
        <w:tc>
          <w:tcPr>
            <w:tcW w:type="dxa" w:w="4533"/>
          </w:tcPr>
          <w:p>
            <w:r>
              <w:rPr>
                <w:sz w:val="22"/>
              </w:rPr>
              <w:t>Stores metadata, teacher_id, teacher_ids list, and units list.</w:t>
            </w:r>
          </w:p>
        </w:tc>
      </w:tr>
      <w:tr>
        <w:tc>
          <w:tcPr>
            <w:tcW w:type="dxa" w:w="4533"/>
            <w:shd w:val="clear" w:color="auto" w:fill="EEF3F9"/>
          </w:tcPr>
          <w:p>
            <w:r>
              <w:rPr>
                <w:b/>
                <w:color w:val="0F4C81"/>
                <w:sz w:val="22"/>
              </w:rPr>
              <w:t>Unit</w:t>
            </w:r>
          </w:p>
        </w:tc>
        <w:tc>
          <w:tcPr>
            <w:tcW w:type="dxa" w:w="4533"/>
          </w:tcPr>
          <w:p>
            <w:r>
              <w:rPr>
                <w:sz w:val="22"/>
              </w:rPr>
              <w:t>Represents individual curriculum component with credits.</w:t>
            </w:r>
          </w:p>
        </w:tc>
      </w:tr>
    </w:tbl>
    <w:p/>
    <w:p>
      <w:pPr>
        <w:pStyle w:val="Heading2"/>
        <w:spacing w:before="280" w:after="120"/>
      </w:pPr>
      <w:r>
        <w:rPr>
          <w:b/>
          <w:color w:val="0F4C81"/>
        </w:rPr>
        <w:t>4.3 Service Layer (EducationSystem) Implementation</w:t>
      </w:r>
    </w:p>
    <w:p>
      <w:pPr>
        <w:spacing w:before="40" w:after="80"/>
      </w:pPr>
      <w:r>
        <w:rPr>
          <w:color w:val="1F2937"/>
          <w:sz w:val="22"/>
        </w:rPr>
        <w:t>Implemented method groups include:</w:t>
      </w:r>
    </w:p>
    <w:p>
      <w:pPr>
        <w:pStyle w:val="ListBullet"/>
        <w:spacing w:before="20" w:after="40"/>
        <w:ind w:left="283"/>
      </w:pPr>
      <w:r>
        <w:rPr>
          <w:color w:val="1F2937"/>
          <w:sz w:val="22"/>
        </w:rPr>
        <w:t>ID generation: next_student_id(), next_teacher_id(), next_course_id(), next_unit_id().</w:t>
      </w:r>
    </w:p>
    <w:p>
      <w:pPr>
        <w:pStyle w:val="ListBullet"/>
        <w:spacing w:before="20" w:after="40"/>
        <w:ind w:left="283"/>
      </w:pPr>
      <w:r>
        <w:rPr>
          <w:color w:val="1F2937"/>
          <w:sz w:val="22"/>
        </w:rPr>
        <w:t>CRUD operations for students, courses, teachers, and units.</w:t>
      </w:r>
    </w:p>
    <w:p>
      <w:pPr>
        <w:pStyle w:val="ListBullet"/>
        <w:spacing w:before="20" w:after="40"/>
        <w:ind w:left="283"/>
      </w:pPr>
      <w:r>
        <w:rPr>
          <w:color w:val="1F2937"/>
          <w:sz w:val="22"/>
        </w:rPr>
        <w:t>Teacher assignment: assign_teacher_to_course(), assign_teacher_to_unit().</w:t>
      </w:r>
    </w:p>
    <w:p>
      <w:pPr>
        <w:pStyle w:val="ListBullet"/>
        <w:spacing w:before="20" w:after="40"/>
        <w:ind w:left="283"/>
      </w:pPr>
      <w:r>
        <w:rPr>
          <w:color w:val="1F2937"/>
          <w:sz w:val="22"/>
        </w:rPr>
        <w:t>Enrollment: enroll_student_unit(), remove_unit_enrollment().</w:t>
      </w:r>
    </w:p>
    <w:p>
      <w:pPr>
        <w:pStyle w:val="ListBullet"/>
        <w:spacing w:before="20" w:after="40"/>
        <w:ind w:left="283"/>
      </w:pPr>
      <w:r>
        <w:rPr>
          <w:color w:val="1F2937"/>
          <w:sz w:val="22"/>
        </w:rPr>
        <w:t>Grading: assign_unit_grade().</w:t>
      </w:r>
    </w:p>
    <w:p>
      <w:pPr>
        <w:pStyle w:val="ListBullet"/>
        <w:spacing w:before="20" w:after="40"/>
        <w:ind w:left="283"/>
      </w:pPr>
      <w:r>
        <w:rPr>
          <w:color w:val="1F2937"/>
          <w:sz w:val="22"/>
        </w:rPr>
        <w:t>Report generation: get_student_report().</w:t>
      </w:r>
    </w:p>
    <w:p>
      <w:pPr>
        <w:pStyle w:val="ListBullet"/>
        <w:spacing w:before="20" w:after="40"/>
        <w:ind w:left="283"/>
      </w:pPr>
      <w:r>
        <w:rPr>
          <w:color w:val="1F2937"/>
          <w:sz w:val="22"/>
        </w:rPr>
        <w:t>Analytics: get_analytics(), _get_students_per_course(), _get_grades_distribution(), _get_teacher_workload().</w:t>
      </w:r>
    </w:p>
    <w:p>
      <w:pPr>
        <w:pStyle w:val="ListBullet"/>
        <w:spacing w:before="20" w:after="40"/>
        <w:ind w:left="283"/>
      </w:pPr>
      <w:r>
        <w:rPr>
          <w:color w:val="1F2937"/>
          <w:sz w:val="22"/>
        </w:rPr>
        <w:t>Grade mapping: grade_to_letter(), grade_to_point().</w:t>
      </w:r>
    </w:p>
    <w:p>
      <w:pPr>
        <w:pStyle w:val="ListBullet"/>
        <w:spacing w:before="20" w:after="40"/>
        <w:ind w:left="283"/>
      </w:pPr>
      <w:r>
        <w:rPr>
          <w:color w:val="1F2937"/>
          <w:sz w:val="22"/>
        </w:rPr>
        <w:t>Persistence: save_data(), load_data(), create_backup_zip().</w:t>
      </w:r>
    </w:p>
    <w:p>
      <w:pPr>
        <w:pStyle w:val="ListBullet"/>
        <w:spacing w:before="20" w:after="40"/>
        <w:ind w:left="283"/>
      </w:pPr>
      <w:r>
        <w:rPr>
          <w:color w:val="1F2937"/>
          <w:sz w:val="22"/>
        </w:rPr>
        <w:t>CSV export: export_courses_summary().</w:t>
      </w:r>
    </w:p>
    <w:p>
      <w:pPr>
        <w:pStyle w:val="Heading2"/>
        <w:spacing w:before="280" w:after="120"/>
      </w:pPr>
      <w:r>
        <w:rPr>
          <w:b/>
          <w:color w:val="0F4C81"/>
        </w:rPr>
        <w:t>4.4 GUI Implementation</w:t>
      </w:r>
    </w:p>
    <w:p>
      <w:pPr>
        <w:spacing w:before="40" w:after="80"/>
      </w:pPr>
      <w:r>
        <w:rPr>
          <w:color w:val="1F2937"/>
          <w:sz w:val="22"/>
        </w:rPr>
        <w:t>The interface is organized into six tabs:</w:t>
      </w:r>
    </w:p>
    <w:p>
      <w:pPr>
        <w:pStyle w:val="ListBullet"/>
        <w:spacing w:before="20" w:after="40"/>
        <w:ind w:left="283"/>
      </w:pPr>
      <w:r>
        <w:rPr>
          <w:color w:val="1F2937"/>
          <w:sz w:val="22"/>
        </w:rPr>
        <w:t>Students — CRUD, search, selection.</w:t>
      </w:r>
    </w:p>
    <w:p>
      <w:pPr>
        <w:pStyle w:val="ListBullet"/>
        <w:spacing w:before="20" w:after="40"/>
        <w:ind w:left="283"/>
      </w:pPr>
      <w:r>
        <w:rPr>
          <w:color w:val="1F2937"/>
          <w:sz w:val="22"/>
        </w:rPr>
        <w:t>Courses — CRUD, units panel, manage-units dialog.</w:t>
      </w:r>
    </w:p>
    <w:p>
      <w:pPr>
        <w:pStyle w:val="ListBullet"/>
        <w:spacing w:before="20" w:after="40"/>
        <w:ind w:left="283"/>
      </w:pPr>
      <w:r>
        <w:rPr>
          <w:color w:val="1F2937"/>
          <w:sz w:val="22"/>
        </w:rPr>
        <w:t>Teachers — CRUD, course/unit assignment.</w:t>
      </w:r>
    </w:p>
    <w:p>
      <w:pPr>
        <w:pStyle w:val="ListBullet"/>
        <w:spacing w:before="20" w:after="40"/>
        <w:ind w:left="283"/>
      </w:pPr>
      <w:r>
        <w:rPr>
          <w:color w:val="1F2937"/>
          <w:sz w:val="22"/>
        </w:rPr>
        <w:t>Enrollment &amp; Grades — unit enrollment, grade assignment.</w:t>
      </w:r>
    </w:p>
    <w:p>
      <w:pPr>
        <w:pStyle w:val="ListBullet"/>
        <w:spacing w:before="20" w:after="40"/>
        <w:ind w:left="283"/>
      </w:pPr>
      <w:r>
        <w:rPr>
          <w:color w:val="1F2937"/>
          <w:sz w:val="22"/>
        </w:rPr>
        <w:t>Reports — preview generation, PDF export.</w:t>
      </w:r>
    </w:p>
    <w:p>
      <w:pPr>
        <w:pStyle w:val="ListBullet"/>
        <w:spacing w:before="20" w:after="40"/>
        <w:ind w:left="283"/>
      </w:pPr>
      <w:r>
        <w:rPr>
          <w:color w:val="1F2937"/>
          <w:sz w:val="22"/>
        </w:rPr>
        <w:t>Analysis — analytics dashboard with snapshots.</w:t>
      </w:r>
    </w:p>
    <w:p>
      <w:pPr>
        <w:pStyle w:val="Heading2"/>
        <w:spacing w:before="280" w:after="120"/>
      </w:pPr>
      <w:r>
        <w:rPr>
          <w:b/>
          <w:color w:val="0F4C81"/>
        </w:rPr>
        <w:t>4.5 Data Persistence and Reconstruction</w:t>
      </w:r>
    </w:p>
    <w:p>
      <w:pPr>
        <w:pStyle w:val="ListBullet"/>
        <w:spacing w:before="20" w:after="40"/>
        <w:ind w:left="283"/>
      </w:pPr>
      <w:r>
        <w:rPr>
          <w:color w:val="1F2937"/>
          <w:sz w:val="22"/>
        </w:rPr>
        <w:t>Students, courses, teachers, and enrollments are written to dedicated CSV files.</w:t>
      </w:r>
    </w:p>
    <w:p>
      <w:pPr>
        <w:pStyle w:val="ListBullet"/>
        <w:spacing w:before="20" w:after="40"/>
        <w:ind w:left="283"/>
      </w:pPr>
      <w:r>
        <w:rPr>
          <w:color w:val="1F2937"/>
          <w:sz w:val="22"/>
        </w:rPr>
        <w:t>Course units and teacher ID lists are serialized as JSON inside CSV columns.</w:t>
      </w:r>
    </w:p>
    <w:p>
      <w:pPr>
        <w:pStyle w:val="ListBullet"/>
        <w:spacing w:before="20" w:after="40"/>
        <w:ind w:left="283"/>
      </w:pPr>
      <w:r>
        <w:rPr>
          <w:color w:val="1F2937"/>
          <w:sz w:val="22"/>
        </w:rPr>
        <w:t>On load, object graphs and cross-links are fully reconstructed.</w:t>
      </w:r>
    </w:p>
    <w:p>
      <w:pPr>
        <w:pStyle w:val="ListBullet"/>
        <w:spacing w:before="20" w:after="40"/>
        <w:ind w:left="283"/>
      </w:pPr>
      <w:r>
        <w:rPr>
          <w:color w:val="1F2937"/>
          <w:sz w:val="22"/>
        </w:rPr>
        <w:t>Unit-teacher relationships and student unit-grade records are restored from CSV.</w:t>
      </w:r>
    </w:p>
    <w:p>
      <w:pPr>
        <w:pStyle w:val="Heading1"/>
        <w:spacing w:before="280" w:after="120"/>
      </w:pPr>
      <w:r>
        <w:rPr>
          <w:b/>
          <w:color w:val="0F4C81"/>
        </w:rPr>
        <w:t>Chapter 5: System Functionality and Features</w:t>
      </w:r>
    </w:p>
    <w:p>
      <w:pPr>
        <w:pBdr>
          <w:bottom w:val="single" w:sz="6" w:space="1" w:color="0F4C81"/>
        </w:pBdr>
        <w:spacing w:before="40" w:after="120"/>
      </w:pPr>
    </w:p>
    <w:p>
      <w:pPr>
        <w:pStyle w:val="Heading2"/>
        <w:spacing w:before="280" w:after="120"/>
      </w:pPr>
      <w:r>
        <w:rPr>
          <w:b/>
          <w:color w:val="0F4C81"/>
        </w:rPr>
        <w:t>5.1 Student Features</w:t>
      </w:r>
    </w:p>
    <w:p>
      <w:pPr>
        <w:pStyle w:val="ListBullet"/>
        <w:spacing w:before="20" w:after="40"/>
        <w:ind w:left="283"/>
      </w:pPr>
      <w:r>
        <w:rPr>
          <w:color w:val="1F2937"/>
          <w:sz w:val="22"/>
        </w:rPr>
        <w:t>Create, read, update, delete students.</w:t>
      </w:r>
    </w:p>
    <w:p>
      <w:pPr>
        <w:pStyle w:val="ListBullet"/>
        <w:spacing w:before="20" w:after="40"/>
        <w:ind w:left="283"/>
      </w:pPr>
      <w:r>
        <w:rPr>
          <w:color w:val="1F2937"/>
          <w:sz w:val="22"/>
        </w:rPr>
        <w:t>Auto-ID support and email validation.</w:t>
      </w:r>
    </w:p>
    <w:p>
      <w:pPr>
        <w:pStyle w:val="ListBullet"/>
        <w:spacing w:before="20" w:after="40"/>
        <w:ind w:left="283"/>
      </w:pPr>
      <w:r>
        <w:rPr>
          <w:color w:val="1F2937"/>
          <w:sz w:val="22"/>
        </w:rPr>
        <w:t>Search/filter student list in real time.</w:t>
      </w:r>
    </w:p>
    <w:p>
      <w:pPr>
        <w:pStyle w:val="Heading2"/>
        <w:spacing w:before="280" w:after="120"/>
      </w:pPr>
      <w:r>
        <w:rPr>
          <w:b/>
          <w:color w:val="0F4C81"/>
        </w:rPr>
        <w:t>5.2 Course and Unit Features</w:t>
      </w:r>
    </w:p>
    <w:p>
      <w:pPr>
        <w:pStyle w:val="ListBullet"/>
        <w:spacing w:before="20" w:after="40"/>
        <w:ind w:left="283"/>
      </w:pPr>
      <w:r>
        <w:rPr>
          <w:color w:val="1F2937"/>
          <w:sz w:val="22"/>
        </w:rPr>
        <w:t>Create, update, delete courses.</w:t>
      </w:r>
    </w:p>
    <w:p>
      <w:pPr>
        <w:pStyle w:val="ListBullet"/>
        <w:spacing w:before="20" w:after="40"/>
        <w:ind w:left="283"/>
      </w:pPr>
      <w:r>
        <w:rPr>
          <w:color w:val="1F2937"/>
          <w:sz w:val="22"/>
        </w:rPr>
        <w:t>Add, update, delete units under courses.</w:t>
      </w:r>
    </w:p>
    <w:p>
      <w:pPr>
        <w:pStyle w:val="ListBullet"/>
        <w:spacing w:before="20" w:after="40"/>
        <w:ind w:left="283"/>
      </w:pPr>
      <w:r>
        <w:rPr>
          <w:color w:val="1F2937"/>
          <w:sz w:val="22"/>
        </w:rPr>
        <w:t>Globally unique unit ID enforcement.</w:t>
      </w:r>
    </w:p>
    <w:p>
      <w:pPr>
        <w:pStyle w:val="ListBullet"/>
        <w:spacing w:before="20" w:after="40"/>
        <w:ind w:left="283"/>
      </w:pPr>
      <w:r>
        <w:rPr>
          <w:color w:val="1F2937"/>
          <w:sz w:val="22"/>
        </w:rPr>
        <w:t>Display selected course units and assigned teachers.</w:t>
      </w:r>
    </w:p>
    <w:p>
      <w:pPr>
        <w:pStyle w:val="Heading2"/>
        <w:spacing w:before="280" w:after="120"/>
      </w:pPr>
      <w:r>
        <w:rPr>
          <w:b/>
          <w:color w:val="0F4C81"/>
        </w:rPr>
        <w:t>5.3 Teacher Features</w:t>
      </w:r>
    </w:p>
    <w:p>
      <w:pPr>
        <w:pStyle w:val="ListBullet"/>
        <w:spacing w:before="20" w:after="40"/>
        <w:ind w:left="283"/>
      </w:pPr>
      <w:r>
        <w:rPr>
          <w:color w:val="1F2937"/>
          <w:sz w:val="22"/>
        </w:rPr>
        <w:t>Create, update, delete teachers.</w:t>
      </w:r>
    </w:p>
    <w:p>
      <w:pPr>
        <w:pStyle w:val="ListBullet"/>
        <w:spacing w:before="20" w:after="40"/>
        <w:ind w:left="283"/>
      </w:pPr>
      <w:r>
        <w:rPr>
          <w:color w:val="1F2937"/>
          <w:sz w:val="22"/>
        </w:rPr>
        <w:t>Assign teacher to whole courses.</w:t>
      </w:r>
    </w:p>
    <w:p>
      <w:pPr>
        <w:pStyle w:val="ListBullet"/>
        <w:spacing w:before="20" w:after="40"/>
        <w:ind w:left="283"/>
      </w:pPr>
      <w:r>
        <w:rPr>
          <w:color w:val="1F2937"/>
          <w:sz w:val="22"/>
        </w:rPr>
        <w:t>Assign teacher to specific units.</w:t>
      </w:r>
    </w:p>
    <w:p>
      <w:pPr>
        <w:pStyle w:val="ListBullet"/>
        <w:spacing w:before="20" w:after="40"/>
        <w:ind w:left="283"/>
      </w:pPr>
      <w:r>
        <w:rPr>
          <w:color w:val="1F2937"/>
          <w:sz w:val="22"/>
        </w:rPr>
        <w:t>Track teacher workload from taught units.</w:t>
      </w:r>
    </w:p>
    <w:p>
      <w:pPr>
        <w:pStyle w:val="Heading2"/>
        <w:spacing w:before="280" w:after="120"/>
      </w:pPr>
      <w:r>
        <w:rPr>
          <w:b/>
          <w:color w:val="0F4C81"/>
        </w:rPr>
        <w:t>5.4 Enrollment and Grading Features</w:t>
      </w:r>
    </w:p>
    <w:p>
      <w:pPr>
        <w:pStyle w:val="ListBullet"/>
        <w:spacing w:before="20" w:after="40"/>
        <w:ind w:left="283"/>
      </w:pPr>
      <w:r>
        <w:rPr>
          <w:color w:val="1F2937"/>
          <w:sz w:val="22"/>
        </w:rPr>
        <w:t>Enroll students at unit level.</w:t>
      </w:r>
    </w:p>
    <w:p>
      <w:pPr>
        <w:pStyle w:val="ListBullet"/>
        <w:spacing w:before="20" w:after="40"/>
        <w:ind w:left="283"/>
      </w:pPr>
      <w:r>
        <w:rPr>
          <w:color w:val="1F2937"/>
          <w:sz w:val="22"/>
        </w:rPr>
        <w:t>Assign and update grades by selected enrollment.</w:t>
      </w:r>
    </w:p>
    <w:p>
      <w:pPr>
        <w:pStyle w:val="ListBullet"/>
        <w:spacing w:before="20" w:after="40"/>
        <w:ind w:left="283"/>
      </w:pPr>
      <w:r>
        <w:rPr>
          <w:color w:val="1F2937"/>
          <w:sz w:val="22"/>
        </w:rPr>
        <w:t>Remove enrollment records safely.</w:t>
      </w:r>
    </w:p>
    <w:p>
      <w:pPr>
        <w:pStyle w:val="ListBullet"/>
        <w:spacing w:before="20" w:after="40"/>
        <w:ind w:left="283"/>
      </w:pPr>
      <w:r>
        <w:rPr>
          <w:color w:val="1F2937"/>
          <w:sz w:val="22"/>
        </w:rPr>
        <w:t>Enforce dependency checks before grade assignment.</w:t>
      </w:r>
    </w:p>
    <w:p>
      <w:pPr>
        <w:pStyle w:val="Heading2"/>
        <w:spacing w:before="280" w:after="120"/>
      </w:pPr>
      <w:r>
        <w:rPr>
          <w:b/>
          <w:color w:val="0F4C81"/>
        </w:rPr>
        <w:t>5.5 Reporting Features</w:t>
      </w:r>
    </w:p>
    <w:p>
      <w:pPr>
        <w:pStyle w:val="ListBullet"/>
        <w:spacing w:before="20" w:after="40"/>
        <w:ind w:left="283"/>
      </w:pPr>
      <w:r>
        <w:rPr>
          <w:color w:val="1F2937"/>
          <w:sz w:val="22"/>
        </w:rPr>
        <w:t>Generate report preview with student, course, and unit details.</w:t>
      </w:r>
    </w:p>
    <w:p>
      <w:pPr>
        <w:pStyle w:val="ListBullet"/>
        <w:spacing w:before="20" w:after="40"/>
        <w:ind w:left="283"/>
      </w:pPr>
      <w:r>
        <w:rPr>
          <w:color w:val="1F2937"/>
          <w:sz w:val="22"/>
        </w:rPr>
        <w:t>Compute and show course GPA and overall CGPA.</w:t>
      </w:r>
    </w:p>
    <w:p>
      <w:pPr>
        <w:pStyle w:val="ListBullet"/>
        <w:spacing w:before="20" w:after="40"/>
        <w:ind w:left="283"/>
      </w:pPr>
      <w:r>
        <w:rPr>
          <w:color w:val="1F2937"/>
          <w:sz w:val="22"/>
        </w:rPr>
        <w:t>Export branded PDF: header, color table, grade badges, signatures, footer.</w:t>
      </w:r>
    </w:p>
    <w:p>
      <w:pPr>
        <w:pStyle w:val="ListBullet"/>
        <w:spacing w:before="20" w:after="40"/>
        <w:ind w:left="283"/>
      </w:pPr>
      <w:r>
        <w:rPr>
          <w:color w:val="1F2937"/>
          <w:sz w:val="22"/>
        </w:rPr>
        <w:t>Optional institution logo auto-detection.</w:t>
      </w:r>
    </w:p>
    <w:p>
      <w:pPr>
        <w:pStyle w:val="Heading2"/>
        <w:spacing w:before="280" w:after="120"/>
      </w:pPr>
      <w:r>
        <w:rPr>
          <w:b/>
          <w:color w:val="0F4C81"/>
        </w:rPr>
        <w:t>5.6 Analytics Features</w:t>
      </w:r>
    </w:p>
    <w:p>
      <w:pPr>
        <w:pStyle w:val="ListBullet"/>
        <w:spacing w:before="20" w:after="40"/>
        <w:ind w:left="283"/>
      </w:pPr>
      <w:r>
        <w:rPr>
          <w:color w:val="1F2937"/>
          <w:sz w:val="22"/>
        </w:rPr>
        <w:t>Students per course bar chart.</w:t>
      </w:r>
    </w:p>
    <w:p>
      <w:pPr>
        <w:pStyle w:val="ListBullet"/>
        <w:spacing w:before="20" w:after="40"/>
        <w:ind w:left="283"/>
      </w:pPr>
      <w:r>
        <w:rPr>
          <w:color w:val="1F2937"/>
          <w:sz w:val="22"/>
        </w:rPr>
        <w:t>Grade distribution by letter chart.</w:t>
      </w:r>
    </w:p>
    <w:p>
      <w:pPr>
        <w:pStyle w:val="ListBullet"/>
        <w:spacing w:before="20" w:after="40"/>
        <w:ind w:left="283"/>
      </w:pPr>
      <w:r>
        <w:rPr>
          <w:color w:val="1F2937"/>
          <w:sz w:val="22"/>
        </w:rPr>
        <w:t>Teacher workload horizontal bar chart.</w:t>
      </w:r>
    </w:p>
    <w:p>
      <w:pPr>
        <w:pStyle w:val="ListBullet"/>
        <w:spacing w:before="20" w:after="40"/>
        <w:ind w:left="283"/>
      </w:pPr>
      <w:r>
        <w:rPr>
          <w:color w:val="1F2937"/>
          <w:sz w:val="22"/>
        </w:rPr>
        <w:t>Summary statistics panel.</w:t>
      </w:r>
    </w:p>
    <w:p>
      <w:pPr>
        <w:pStyle w:val="ListBullet"/>
        <w:spacing w:before="20" w:after="40"/>
        <w:ind w:left="283"/>
      </w:pPr>
      <w:r>
        <w:rPr>
          <w:color w:val="1F2937"/>
          <w:sz w:val="22"/>
        </w:rPr>
        <w:t>Student/teacher snapshot via dropdown selections.</w:t>
      </w:r>
    </w:p>
    <w:p>
      <w:pPr>
        <w:pStyle w:val="Heading1"/>
        <w:spacing w:before="280" w:after="120"/>
      </w:pPr>
      <w:r>
        <w:rPr>
          <w:b/>
          <w:color w:val="0F4C81"/>
        </w:rPr>
        <w:t>Chapter 6: How the System Works (Input, Processing, Output)</w:t>
      </w:r>
    </w:p>
    <w:p>
      <w:pPr>
        <w:pBdr>
          <w:bottom w:val="single" w:sz="6" w:space="1" w:color="0F4C81"/>
        </w:pBdr>
        <w:spacing w:before="40" w:after="120"/>
      </w:pPr>
    </w:p>
    <w:p>
      <w:pPr>
        <w:pStyle w:val="Heading2"/>
        <w:spacing w:before="280" w:after="120"/>
      </w:pPr>
      <w:r>
        <w:rPr>
          <w:b/>
          <w:color w:val="0F4C81"/>
        </w:rPr>
        <w:t>6.1 Input</w:t>
      </w:r>
    </w:p>
    <w:p>
      <w:pPr>
        <w:spacing w:before="40" w:after="80"/>
      </w:pPr>
      <w:r>
        <w:rPr>
          <w:color w:val="1F2937"/>
          <w:sz w:val="22"/>
        </w:rPr>
        <w:t>Input sources include:</w:t>
      </w:r>
    </w:p>
    <w:p>
      <w:pPr>
        <w:pStyle w:val="ListBullet"/>
        <w:spacing w:before="20" w:after="40"/>
        <w:ind w:left="283"/>
      </w:pPr>
      <w:r>
        <w:rPr>
          <w:color w:val="1F2937"/>
          <w:sz w:val="22"/>
        </w:rPr>
        <w:t>Text fields for names, emails, departments, credits, grades.</w:t>
      </w:r>
    </w:p>
    <w:p>
      <w:pPr>
        <w:pStyle w:val="ListBullet"/>
        <w:spacing w:before="20" w:after="40"/>
        <w:ind w:left="283"/>
      </w:pPr>
      <w:r>
        <w:rPr>
          <w:color w:val="1F2937"/>
          <w:sz w:val="22"/>
        </w:rPr>
        <w:t>Dropdown selectors for students, courses, units, teachers.</w:t>
      </w:r>
    </w:p>
    <w:p>
      <w:pPr>
        <w:pStyle w:val="ListBullet"/>
        <w:spacing w:before="20" w:after="40"/>
        <w:ind w:left="283"/>
      </w:pPr>
      <w:r>
        <w:rPr>
          <w:color w:val="1F2937"/>
          <w:sz w:val="22"/>
        </w:rPr>
        <w:t>Tree/list selections for record targeting.</w:t>
      </w:r>
    </w:p>
    <w:p>
      <w:pPr>
        <w:pStyle w:val="ListBullet"/>
        <w:spacing w:before="20" w:after="40"/>
        <w:ind w:left="283"/>
      </w:pPr>
      <w:r>
        <w:rPr>
          <w:color w:val="1F2937"/>
          <w:sz w:val="22"/>
        </w:rPr>
        <w:t>Action buttons for CRUD, assignment, enrollment, reporting, analytics.</w:t>
      </w:r>
    </w:p>
    <w:p>
      <w:pPr>
        <w:pStyle w:val="Heading2"/>
        <w:spacing w:before="280" w:after="120"/>
      </w:pPr>
      <w:r>
        <w:rPr>
          <w:b/>
          <w:color w:val="0F4C81"/>
        </w:rPr>
        <w:t>6.2 Processing</w:t>
      </w:r>
    </w:p>
    <w:p>
      <w:pPr>
        <w:spacing w:before="40" w:after="80"/>
      </w:pPr>
      <w:r>
        <w:rPr>
          <w:color w:val="1F2937"/>
          <w:sz w:val="22"/>
        </w:rPr>
        <w:t>Processing flow in EducationSystem:</w:t>
      </w:r>
    </w:p>
    <w:p>
      <w:pPr>
        <w:pStyle w:val="ListNumber"/>
        <w:spacing w:before="20" w:after="40"/>
        <w:ind w:left="283"/>
      </w:pPr>
      <w:r>
        <w:rPr>
          <w:color w:val="1F2937"/>
          <w:sz w:val="22"/>
        </w:rPr>
        <w:t>Validate identity references and rule constraints.</w:t>
      </w:r>
    </w:p>
    <w:p>
      <w:pPr>
        <w:pStyle w:val="ListNumber"/>
        <w:spacing w:before="20" w:after="40"/>
        <w:ind w:left="283"/>
      </w:pPr>
      <w:r>
        <w:rPr>
          <w:color w:val="1F2937"/>
          <w:sz w:val="22"/>
        </w:rPr>
        <w:t>Execute domain operation.</w:t>
      </w:r>
    </w:p>
    <w:p>
      <w:pPr>
        <w:pStyle w:val="ListNumber"/>
        <w:spacing w:before="20" w:after="40"/>
        <w:ind w:left="283"/>
      </w:pPr>
      <w:r>
        <w:rPr>
          <w:color w:val="1F2937"/>
          <w:sz w:val="22"/>
        </w:rPr>
        <w:t>Update in-memory entity objects and relationships.</w:t>
      </w:r>
    </w:p>
    <w:p>
      <w:pPr>
        <w:pStyle w:val="ListNumber"/>
        <w:spacing w:before="20" w:after="40"/>
        <w:ind w:left="283"/>
      </w:pPr>
      <w:r>
        <w:rPr>
          <w:color w:val="1F2937"/>
          <w:sz w:val="22"/>
        </w:rPr>
        <w:t>Compute derived values: letters, points, GPA, CGPA, analytics metrics.</w:t>
      </w:r>
    </w:p>
    <w:p>
      <w:pPr>
        <w:pStyle w:val="ListNumber"/>
        <w:spacing w:before="20" w:after="40"/>
        <w:ind w:left="283"/>
      </w:pPr>
      <w:r>
        <w:rPr>
          <w:color w:val="1F2937"/>
          <w:sz w:val="22"/>
        </w:rPr>
        <w:t>Persist updated state to CSV files.</w:t>
      </w:r>
    </w:p>
    <w:p>
      <w:pPr>
        <w:pStyle w:val="Heading2"/>
        <w:spacing w:before="280" w:after="120"/>
      </w:pPr>
      <w:r>
        <w:rPr>
          <w:b/>
          <w:color w:val="0F4C81"/>
        </w:rPr>
        <w:t>6.3 Output</w:t>
      </w:r>
    </w:p>
    <w:p>
      <w:pPr>
        <w:spacing w:before="40" w:after="80"/>
      </w:pPr>
      <w:r>
        <w:rPr>
          <w:color w:val="1F2937"/>
          <w:sz w:val="22"/>
        </w:rPr>
        <w:t>Outputs include:</w:t>
      </w:r>
    </w:p>
    <w:p>
      <w:pPr>
        <w:pStyle w:val="ListBullet"/>
        <w:spacing w:before="20" w:after="40"/>
        <w:ind w:left="283"/>
      </w:pPr>
      <w:r>
        <w:rPr>
          <w:color w:val="1F2937"/>
          <w:sz w:val="22"/>
        </w:rPr>
        <w:t>Updated tables and forms in GUI.</w:t>
      </w:r>
    </w:p>
    <w:p>
      <w:pPr>
        <w:pStyle w:val="ListBullet"/>
        <w:spacing w:before="20" w:after="40"/>
        <w:ind w:left="283"/>
      </w:pPr>
      <w:r>
        <w:rPr>
          <w:color w:val="1F2937"/>
          <w:sz w:val="22"/>
        </w:rPr>
        <w:t>Report preview text in textbox.</w:t>
      </w:r>
    </w:p>
    <w:p>
      <w:pPr>
        <w:pStyle w:val="ListBullet"/>
        <w:spacing w:before="20" w:after="40"/>
        <w:ind w:left="283"/>
      </w:pPr>
      <w:r>
        <w:rPr>
          <w:color w:val="1F2937"/>
          <w:sz w:val="22"/>
        </w:rPr>
        <w:t>Styled PDF report file exported to selected path.</w:t>
      </w:r>
    </w:p>
    <w:p>
      <w:pPr>
        <w:pStyle w:val="ListBullet"/>
        <w:spacing w:before="20" w:after="40"/>
        <w:ind w:left="283"/>
      </w:pPr>
      <w:r>
        <w:rPr>
          <w:color w:val="1F2937"/>
          <w:sz w:val="22"/>
        </w:rPr>
        <w:t>Matplotlib analytics charts.</w:t>
      </w:r>
    </w:p>
    <w:p>
      <w:pPr>
        <w:pStyle w:val="ListBullet"/>
        <w:spacing w:before="20" w:after="40"/>
        <w:ind w:left="283"/>
      </w:pPr>
      <w:r>
        <w:rPr>
          <w:color w:val="1F2937"/>
          <w:sz w:val="22"/>
        </w:rPr>
        <w:t>Updated CSV persistent state.</w:t>
      </w:r>
    </w:p>
    <w:p>
      <w:pPr>
        <w:pStyle w:val="Heading1"/>
        <w:spacing w:before="280" w:after="120"/>
      </w:pPr>
      <w:r>
        <w:rPr>
          <w:b/>
          <w:color w:val="0F4C81"/>
        </w:rPr>
        <w:t>Chapter 7: Testing and Evaluation</w:t>
      </w:r>
    </w:p>
    <w:p>
      <w:pPr>
        <w:pBdr>
          <w:bottom w:val="single" w:sz="6" w:space="1" w:color="0F4C81"/>
        </w:pBdr>
        <w:spacing w:before="40" w:after="120"/>
      </w:pPr>
    </w:p>
    <w:p>
      <w:pPr>
        <w:pStyle w:val="Heading2"/>
        <w:spacing w:before="280" w:after="120"/>
      </w:pPr>
      <w:r>
        <w:rPr>
          <w:b/>
          <w:color w:val="0F4C81"/>
        </w:rPr>
        <w:t>7.1 Testing Strategy</w:t>
      </w:r>
    </w:p>
    <w:p>
      <w:pPr>
        <w:spacing w:before="40" w:after="80"/>
      </w:pPr>
      <w:r>
        <w:rPr>
          <w:color w:val="1F2937"/>
          <w:sz w:val="22"/>
        </w:rPr>
        <w:t>Two complementary suites were used:</w:t>
      </w:r>
    </w:p>
    <w:p>
      <w:pPr>
        <w:pStyle w:val="ListBullet"/>
        <w:spacing w:before="20" w:after="40"/>
        <w:ind w:left="283"/>
      </w:pPr>
      <w:r>
        <w:rPr>
          <w:color w:val="1F2937"/>
          <w:sz w:val="22"/>
        </w:rPr>
        <w:t>test_system.py — positive end-to-end workflows (11 tests).</w:t>
      </w:r>
    </w:p>
    <w:p>
      <w:pPr>
        <w:pStyle w:val="ListBullet"/>
        <w:spacing w:before="20" w:after="40"/>
        <w:ind w:left="283"/>
      </w:pPr>
      <w:r>
        <w:rPr>
          <w:color w:val="1F2937"/>
          <w:sz w:val="22"/>
        </w:rPr>
        <w:t>test_system_negative.py — invalid/exception workflows (15 tests).</w:t>
      </w:r>
    </w:p>
    <w:p>
      <w:pPr>
        <w:pStyle w:val="Heading2"/>
        <w:spacing w:before="280" w:after="120"/>
      </w:pPr>
      <w:r>
        <w:rPr>
          <w:b/>
          <w:color w:val="0F4C81"/>
        </w:rPr>
        <w:t>7.2 Executed Test Results</w:t>
      </w:r>
    </w:p>
    <w:tbl>
      <w:tblPr>
        <w:tblStyle w:val="TableGrid"/>
        <w:tblW w:type="auto" w:w="0"/>
        <w:tblLook w:firstColumn="1" w:firstRow="1" w:lastColumn="0" w:lastRow="0" w:noHBand="0" w:noVBand="1" w:val="04A0"/>
      </w:tblPr>
      <w:tblGrid>
        <w:gridCol w:w="4533"/>
        <w:gridCol w:w="4533"/>
      </w:tblGrid>
      <w:tr>
        <w:tc>
          <w:tcPr>
            <w:tcW w:type="dxa" w:w="4533"/>
            <w:shd w:val="clear" w:color="auto" w:fill="0F4C81"/>
          </w:tcPr>
          <w:p>
            <w:r>
              <w:rPr>
                <w:b/>
                <w:color w:val="FFFFFF"/>
                <w:sz w:val="22"/>
              </w:rPr>
              <w:t>Test Suite</w:t>
            </w:r>
          </w:p>
        </w:tc>
        <w:tc>
          <w:tcPr>
            <w:tcW w:type="dxa" w:w="4533"/>
            <w:shd w:val="clear" w:color="auto" w:fill="0F4C81"/>
          </w:tcPr>
          <w:p>
            <w:pPr>
              <w:jc w:val="center"/>
            </w:pPr>
            <w:r>
              <w:rPr>
                <w:b/>
                <w:color w:val="FFFFFF"/>
                <w:sz w:val="22"/>
              </w:rPr>
              <w:t>Result</w:t>
            </w:r>
          </w:p>
        </w:tc>
      </w:tr>
      <w:tr>
        <w:tc>
          <w:tcPr>
            <w:tcW w:type="dxa" w:w="4533"/>
            <w:shd w:val="clear" w:color="auto" w:fill="FFFFFF"/>
          </w:tcPr>
          <w:p>
            <w:r>
              <w:rPr>
                <w:b w:val="0"/>
                <w:color w:val="0F4C81"/>
                <w:sz w:val="22"/>
              </w:rPr>
              <w:t>test_system.py — Functional Suite</w:t>
            </w:r>
          </w:p>
        </w:tc>
        <w:tc>
          <w:tcPr>
            <w:tcW w:type="dxa" w:w="4533"/>
            <w:shd w:val="clear" w:color="auto" w:fill="FFFFFF"/>
          </w:tcPr>
          <w:p>
            <w:pPr>
              <w:jc w:val="center"/>
            </w:pPr>
            <w:r>
              <w:rPr>
                <w:b w:val="0"/>
                <w:color w:val="64748B"/>
                <w:sz w:val="22"/>
              </w:rPr>
              <w:t>11 / 11 PASSED</w:t>
            </w:r>
          </w:p>
        </w:tc>
      </w:tr>
      <w:tr>
        <w:tc>
          <w:tcPr>
            <w:tcW w:type="dxa" w:w="4533"/>
            <w:shd w:val="clear" w:color="auto" w:fill="EEF3F9"/>
          </w:tcPr>
          <w:p>
            <w:r>
              <w:rPr>
                <w:b w:val="0"/>
                <w:color w:val="0F4C81"/>
                <w:sz w:val="22"/>
              </w:rPr>
              <w:t>test_system_negative.py — Negative Suite</w:t>
            </w:r>
          </w:p>
        </w:tc>
        <w:tc>
          <w:tcPr>
            <w:tcW w:type="dxa" w:w="4533"/>
            <w:shd w:val="clear" w:color="auto" w:fill="EEF3F9"/>
          </w:tcPr>
          <w:p>
            <w:pPr>
              <w:jc w:val="center"/>
            </w:pPr>
            <w:r>
              <w:rPr>
                <w:b w:val="0"/>
                <w:color w:val="64748B"/>
                <w:sz w:val="22"/>
              </w:rPr>
              <w:t>15 / 15 PASSED</w:t>
            </w:r>
          </w:p>
        </w:tc>
      </w:tr>
      <w:tr>
        <w:tc>
          <w:tcPr>
            <w:tcW w:type="dxa" w:w="4533"/>
            <w:shd w:val="clear" w:color="auto" w:fill="FFFFFF"/>
          </w:tcPr>
          <w:p>
            <w:r>
              <w:rPr>
                <w:b/>
                <w:color w:val="0F4C81"/>
                <w:sz w:val="22"/>
              </w:rPr>
              <w:t>Combined Total</w:t>
            </w:r>
          </w:p>
        </w:tc>
        <w:tc>
          <w:tcPr>
            <w:tcW w:type="dxa" w:w="4533"/>
            <w:shd w:val="clear" w:color="auto" w:fill="FFFFFF"/>
          </w:tcPr>
          <w:p>
            <w:pPr>
              <w:jc w:val="center"/>
            </w:pPr>
            <w:r>
              <w:rPr>
                <w:b/>
                <w:color w:val="0F4C81"/>
                <w:sz w:val="22"/>
              </w:rPr>
              <w:t>26 / 26 PASSED</w:t>
            </w:r>
          </w:p>
        </w:tc>
      </w:tr>
    </w:tbl>
    <w:p/>
    <w:p>
      <w:pPr>
        <w:pStyle w:val="Heading2"/>
        <w:spacing w:before="280" w:after="120"/>
      </w:pPr>
      <w:r>
        <w:rPr>
          <w:b/>
          <w:color w:val="0F4C81"/>
        </w:rPr>
        <w:t>7.3 Evaluated Quality Dimensions</w:t>
      </w:r>
    </w:p>
    <w:p>
      <w:pPr>
        <w:pStyle w:val="ListBullet"/>
        <w:spacing w:before="20" w:after="40"/>
        <w:ind w:left="283"/>
      </w:pPr>
      <w:r>
        <w:rPr>
          <w:color w:val="1F2937"/>
          <w:sz w:val="22"/>
        </w:rPr>
        <w:t>Correctness of domain rules.</w:t>
      </w:r>
    </w:p>
    <w:p>
      <w:pPr>
        <w:pStyle w:val="ListBullet"/>
        <w:spacing w:before="20" w:after="40"/>
        <w:ind w:left="283"/>
      </w:pPr>
      <w:r>
        <w:rPr>
          <w:color w:val="1F2937"/>
          <w:sz w:val="22"/>
        </w:rPr>
        <w:t>Consistency of GPA and CGPA mathematics.</w:t>
      </w:r>
    </w:p>
    <w:p>
      <w:pPr>
        <w:pStyle w:val="ListBullet"/>
        <w:spacing w:before="20" w:after="40"/>
        <w:ind w:left="283"/>
      </w:pPr>
      <w:r>
        <w:rPr>
          <w:color w:val="1F2937"/>
          <w:sz w:val="22"/>
        </w:rPr>
        <w:t>Cascade behavior on delete operations.</w:t>
      </w:r>
    </w:p>
    <w:p>
      <w:pPr>
        <w:pStyle w:val="ListBullet"/>
        <w:spacing w:before="20" w:after="40"/>
        <w:ind w:left="283"/>
      </w:pPr>
      <w:r>
        <w:rPr>
          <w:color w:val="1F2937"/>
          <w:sz w:val="22"/>
        </w:rPr>
        <w:t>Persistence round-trip reliability.</w:t>
      </w:r>
    </w:p>
    <w:p>
      <w:pPr>
        <w:pStyle w:val="ListBullet"/>
        <w:spacing w:before="20" w:after="40"/>
        <w:ind w:left="283"/>
      </w:pPr>
      <w:r>
        <w:rPr>
          <w:color w:val="1F2937"/>
          <w:sz w:val="22"/>
        </w:rPr>
        <w:t>Robustness against invalid actions.</w:t>
      </w:r>
    </w:p>
    <w:p>
      <w:pPr>
        <w:pStyle w:val="Heading2"/>
        <w:spacing w:before="280" w:after="120"/>
      </w:pPr>
      <w:r>
        <w:rPr>
          <w:b/>
          <w:color w:val="0F4C81"/>
        </w:rPr>
        <w:t>7.4 Limitations and Future Work</w:t>
      </w:r>
    </w:p>
    <w:p>
      <w:pPr>
        <w:spacing w:before="40" w:after="80"/>
      </w:pPr>
      <w:r>
        <w:rPr>
          <w:color w:val="1F2937"/>
          <w:sz w:val="22"/>
        </w:rPr>
        <w:t>Current limitations:</w:t>
      </w:r>
    </w:p>
    <w:p>
      <w:pPr>
        <w:pStyle w:val="ListBullet"/>
        <w:spacing w:before="20" w:after="40"/>
        <w:ind w:left="283"/>
      </w:pPr>
      <w:r>
        <w:rPr>
          <w:color w:val="1F2937"/>
          <w:sz w:val="22"/>
        </w:rPr>
        <w:t>CSV storage is suitable for desktop/single-user scope, not concurrent multi-user scale.</w:t>
      </w:r>
    </w:p>
    <w:p>
      <w:pPr>
        <w:pStyle w:val="ListBullet"/>
        <w:spacing w:before="20" w:after="40"/>
        <w:ind w:left="283"/>
      </w:pPr>
      <w:r>
        <w:rPr>
          <w:color w:val="1F2937"/>
          <w:sz w:val="22"/>
        </w:rPr>
        <w:t>Security/authentication is not currently implemented.</w:t>
      </w:r>
    </w:p>
    <w:p>
      <w:pPr>
        <w:spacing w:before="40" w:after="80"/>
      </w:pPr>
      <w:r>
        <w:rPr>
          <w:color w:val="1F2937"/>
          <w:sz w:val="22"/>
        </w:rPr>
        <w:t>Recommended improvements:</w:t>
      </w:r>
    </w:p>
    <w:p>
      <w:pPr>
        <w:pStyle w:val="ListNumber"/>
        <w:spacing w:before="20" w:after="40"/>
        <w:ind w:left="283"/>
      </w:pPr>
      <w:r>
        <w:rPr>
          <w:color w:val="1F2937"/>
          <w:sz w:val="22"/>
        </w:rPr>
        <w:t>Migrate to a transactional database backend (SQLite/PostgreSQL).</w:t>
      </w:r>
    </w:p>
    <w:p>
      <w:pPr>
        <w:pStyle w:val="ListNumber"/>
        <w:spacing w:before="20" w:after="40"/>
        <w:ind w:left="283"/>
      </w:pPr>
      <w:r>
        <w:rPr>
          <w:color w:val="1F2937"/>
          <w:sz w:val="22"/>
        </w:rPr>
        <w:t>Add automated GUI interaction test layer.</w:t>
      </w:r>
    </w:p>
    <w:p>
      <w:pPr>
        <w:pStyle w:val="ListNumber"/>
        <w:spacing w:before="20" w:after="40"/>
        <w:ind w:left="283"/>
      </w:pPr>
      <w:r>
        <w:rPr>
          <w:color w:val="1F2937"/>
          <w:sz w:val="22"/>
        </w:rPr>
        <w:t>Integrate CI coverage thresholds.</w:t>
      </w:r>
    </w:p>
    <w:p>
      <w:pPr>
        <w:pStyle w:val="ListNumber"/>
        <w:spacing w:before="20" w:after="40"/>
        <w:ind w:left="283"/>
      </w:pPr>
      <w:r>
        <w:rPr>
          <w:color w:val="1F2937"/>
          <w:sz w:val="22"/>
        </w:rPr>
        <w:t>Add role-based access and audit log support.</w:t>
      </w:r>
    </w:p>
    <w:p>
      <w:pPr>
        <w:pStyle w:val="Heading1"/>
        <w:spacing w:before="280" w:after="120"/>
      </w:pPr>
      <w:r>
        <w:rPr>
          <w:b/>
          <w:color w:val="0F4C81"/>
        </w:rPr>
        <w:t>Chapter 8: Conclusion</w:t>
      </w:r>
    </w:p>
    <w:p>
      <w:pPr>
        <w:pBdr>
          <w:bottom w:val="single" w:sz="6" w:space="1" w:color="0F4C81"/>
        </w:pBdr>
        <w:spacing w:before="40" w:after="120"/>
      </w:pPr>
    </w:p>
    <w:p>
      <w:pPr>
        <w:spacing w:before="40" w:after="80"/>
      </w:pPr>
      <w:r>
        <w:rPr>
          <w:color w:val="1F2937"/>
          <w:sz w:val="22"/>
        </w:rPr>
        <w:t>EduManage successfully fulfills the defined academic-management requirements through a layered architecture, robust service logic, feature-rich GUI workflows, professional reporting, and validated test outcomes. The system is maintainable, demonstrable, and extensible, with clear pathways for scaling and hardening in future iterations. The project demonstrates practical application of object-oriented design, clean architecture, and professional-grade software engineering practices.</w:t>
      </w:r>
    </w:p>
    <w:p/>
    <w:p>
      <w:pPr>
        <w:pBdr>
          <w:bottom w:val="single" w:sz="6" w:space="1" w:color="F28C6F"/>
        </w:pBdr>
        <w:spacing w:before="40" w:after="120"/>
      </w:pPr>
    </w:p>
    <w:p>
      <w:pPr>
        <w:jc w:val="center"/>
      </w:pPr>
      <w:r>
        <w:rPr>
          <w:i/>
          <w:color w:val="64748B"/>
          <w:sz w:val="20"/>
        </w:rPr>
        <w:t>End of Report  —  EduManage Group Project  —  June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