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officeDocument/2006/relationships/extended-properties" Target="docProps/app.xml" Id="rId4" /><Relationship Type="http://schemas.openxmlformats.org/officeDocument/2006/relationships/officeDocument" Target="word/document.xml" Id="rId1" /><Relationship Type="http://schemas.openxmlformats.org/package/2006/relationships/metadata/thumbnail" Target="docProps/thumbnail.jpeg" Id="rId2" /><Relationship Type="http://schemas.openxmlformats.org/officeDocument/2006/relationships/custom-properties" Target="/docProps/custom.xml" Id="R56bd67dc450c407f" 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100000" w14:textId="00100001"/>
    <w:p w14:paraId="00100002" w14:textId="00100003">
      <w:pPr>
        <w:spacing w:after="200"/>
        <w:jc w:val="center"/>
      </w:pPr>
      <w:r>
        <w:rPr>
          <w:b/>
          <w:color w:val="1F497D"/>
          <w:sz w:val="44"/>
        </w:rPr>
        <w:t>Indian E-Commerce Sales &amp;</w:t>
        <w:br/>
        <w:t>Customer Behavior Analytics</w:t>
      </w:r>
    </w:p>
    <w:p w14:paraId="00100004" w14:textId="00100005">
      <w:pPr>
        <w:spacing w:before="0" w:after="120"/>
        <w:jc w:val="center"/>
      </w:pPr>
      <w:r>
        <w:rPr>
          <w:b/>
          <w:i w:val="0"/>
          <w:color w:val="2E74B5"/>
          <w:sz w:val="30"/>
        </w:rPr>
        <w:t>Project Report</w:t>
      </w:r>
    </w:p>
    <w:p w14:paraId="00100006" w14:textId="00100007">
      <w:pPr>
        <w:spacing w:before="0" w:after="80"/>
        <w:jc w:val="center"/>
      </w:pPr>
      <w:r>
        <w:rPr>
          <w:b/>
          <w:i w:val="0"/>
          <w:sz w:val="24"/>
        </w:rPr>
        <w:t>Author: Subhadip Dutta</w:t>
      </w:r>
    </w:p>
    <w:p w14:paraId="00100008" w14:textId="00100009">
      <w:pPr>
        <w:spacing w:before="0" w:after="80"/>
        <w:jc w:val="center"/>
      </w:pPr>
      <w:r>
        <w:rPr>
          <w:b w:val="0"/>
          <w:i w:val="0"/>
          <w:color w:val="505050"/>
          <w:sz w:val="20"/>
        </w:rPr>
        <w:t>Dataset: Indian E-Commerce Customer Behavior &amp; Purchase  |  25,000 Sessions  |  2024</w:t>
      </w:r>
    </w:p>
    <w:p w14:paraId="0010000A" w14:textId="0010000B">
      <w:pPr>
        <w:spacing w:before="0" w:after="400"/>
        <w:jc w:val="center"/>
      </w:pPr>
      <w:r>
        <w:rPr>
          <w:b w:val="0"/>
          <w:i w:val="0"/>
          <w:color w:val="505050"/>
          <w:sz w:val="20"/>
        </w:rPr>
        <w:t>Tools: Python 3.13 · Pandas · NumPy · Matplotlib · Seaborn · Plotly · Scikit-learn</w:t>
      </w:r>
    </w:p>
    <w:p w14:paraId="0010000C" w14:textId="0010000D">
      <w:pPr>
        <w:pBdr>
          <w:bottom w:val="single" w:color="2E74B5" w:sz="6" w:space="1"/>
        </w:pBdr>
        <w:spacing w:after="200"/>
      </w:pPr>
    </w:p>
    <w:p w14:paraId="0010000E" w14:textId="0010000F">
      <w:pPr>
        <w:pStyle w:val="Heading1"/>
        <w:spacing w:before="240" w:after="120"/>
      </w:pPr>
      <w:r>
        <w:rPr>
          <w:color w:val="1F497D"/>
          <w:sz w:val="28"/>
        </w:rPr>
        <w:t>1.  Key Performance Indicators</w:t>
      </w:r>
    </w:p>
    <w:p w14:paraId="00100010" w14:textId="00100011">
      <w:pPr>
        <w:spacing w:before="0" w:after="160"/>
        <w:jc w:val="left"/>
      </w:pPr>
      <w:r>
        <w:rPr>
          <w:b w:val="0"/>
          <w:i/>
          <w:color w:val="646464"/>
          <w:sz w:val="20"/>
        </w:rPr>
        <w:t>Live values computed from the executed notebook on the full 25,000-session dataset.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w="1624" w:type="dxa"/>
            <w:vAlign w:val="center"/>
            <w:shd w:val="clear" w:color="auto" w:fill="1F497D"/>
          </w:tcPr>
          <w:p w14:paraId="00100012" w14:textId="00100013">
            <w:pPr>
              <w:jc w:val="center"/>
            </w:pPr>
            <w:r>
              <w:rPr>
                <w:b/>
                <w:color w:val="FFFFFF"/>
                <w:sz w:val="16"/>
              </w:rPr>
              <w:t>Total Revenue</w:t>
            </w:r>
          </w:p>
          <w:p w14:paraId="00100014" w14:textId="00100015">
            <w:pPr>
              <w:jc w:val="center"/>
            </w:pPr>
            <w:r>
              <w:rPr>
                <w:b/>
                <w:color w:val="FFFFFF"/>
                <w:sz w:val="26"/>
              </w:rPr>
              <w:t>₹1,01,16,169</w:t>
            </w:r>
          </w:p>
        </w:tc>
        <w:tc>
          <w:tcPr>
            <w:tcW w:w="1624" w:type="dxa"/>
            <w:vAlign w:val="center"/>
            <w:shd w:val="clear" w:color="auto" w:fill="1F497D"/>
          </w:tcPr>
          <w:p w14:paraId="00100016" w14:textId="00100017">
            <w:pPr>
              <w:jc w:val="center"/>
            </w:pPr>
            <w:r>
              <w:rPr>
                <w:b/>
                <w:color w:val="FFFFFF"/>
                <w:sz w:val="16"/>
              </w:rPr>
              <w:t>Total Sessions</w:t>
            </w:r>
          </w:p>
          <w:p w14:paraId="00100018" w14:textId="00100019">
            <w:pPr>
              <w:jc w:val="center"/>
            </w:pPr>
            <w:r>
              <w:rPr>
                <w:b/>
                <w:color w:val="FFFFFF"/>
                <w:sz w:val="26"/>
              </w:rPr>
              <w:t>25,000</w:t>
            </w:r>
          </w:p>
        </w:tc>
        <w:tc>
          <w:tcPr>
            <w:tcW w:w="1624" w:type="dxa"/>
            <w:vAlign w:val="center"/>
            <w:shd w:val="clear" w:color="auto" w:fill="1F497D"/>
          </w:tcPr>
          <w:p w14:paraId="0010001A" w14:textId="0010001B">
            <w:pPr>
              <w:jc w:val="center"/>
            </w:pPr>
            <w:r>
              <w:rPr>
                <w:b/>
                <w:color w:val="FFFFFF"/>
                <w:sz w:val="16"/>
              </w:rPr>
              <w:t>Total Purchases</w:t>
            </w:r>
          </w:p>
          <w:p w14:paraId="0010001C" w14:textId="0010001D">
            <w:pPr>
              <w:jc w:val="center"/>
            </w:pPr>
            <w:r>
              <w:rPr>
                <w:b/>
                <w:color w:val="FFFFFF"/>
                <w:sz w:val="26"/>
              </w:rPr>
              <w:t>5,616</w:t>
            </w:r>
          </w:p>
        </w:tc>
        <w:tc>
          <w:tcPr>
            <w:tcW w:w="1624" w:type="dxa"/>
            <w:vAlign w:val="center"/>
            <w:shd w:val="clear" w:color="auto" w:fill="1F497D"/>
          </w:tcPr>
          <w:p w14:paraId="0010001E" w14:textId="0010001F">
            <w:pPr>
              <w:jc w:val="center"/>
            </w:pPr>
            <w:r>
              <w:rPr>
                <w:b/>
                <w:color w:val="FFFFFF"/>
                <w:sz w:val="16"/>
              </w:rPr>
              <w:t>Conversion Rate</w:t>
            </w:r>
          </w:p>
          <w:p w14:paraId="00100020" w14:textId="00100021">
            <w:pPr>
              <w:jc w:val="center"/>
            </w:pPr>
            <w:r>
              <w:rPr>
                <w:b/>
                <w:color w:val="FFFFFF"/>
                <w:sz w:val="26"/>
              </w:rPr>
              <w:t>22.46%</w:t>
            </w:r>
          </w:p>
        </w:tc>
        <w:tc>
          <w:tcPr>
            <w:tcW w:w="1624" w:type="dxa"/>
            <w:vAlign w:val="center"/>
            <w:shd w:val="clear" w:color="auto" w:fill="1F497D"/>
          </w:tcPr>
          <w:p w14:paraId="00100022" w14:textId="00100023">
            <w:pPr>
              <w:jc w:val="center"/>
            </w:pPr>
            <w:r>
              <w:rPr>
                <w:b/>
                <w:color w:val="FFFFFF"/>
                <w:sz w:val="16"/>
              </w:rPr>
              <w:t>Avg Order Value</w:t>
            </w:r>
          </w:p>
          <w:p w14:paraId="00100024" w14:textId="00100025">
            <w:pPr>
              <w:jc w:val="center"/>
            </w:pPr>
            <w:r>
              <w:rPr>
                <w:b/>
                <w:color w:val="FFFFFF"/>
                <w:sz w:val="26"/>
              </w:rPr>
              <w:t>₹1,801.31</w:t>
            </w:r>
          </w:p>
        </w:tc>
        <w:tc>
          <w:tcPr>
            <w:tcW w:w="1624" w:type="dxa"/>
            <w:vAlign w:val="center"/>
            <w:shd w:val="clear" w:color="auto" w:fill="1F497D"/>
          </w:tcPr>
          <w:p w14:paraId="00100026" w14:textId="00100027">
            <w:pPr>
              <w:jc w:val="center"/>
            </w:pPr>
            <w:r>
              <w:rPr>
                <w:b/>
                <w:color w:val="FFFFFF"/>
                <w:sz w:val="16"/>
              </w:rPr>
              <w:t>Cart Abandon Rate</w:t>
            </w:r>
          </w:p>
          <w:p w14:paraId="00100028" w14:textId="00100029">
            <w:pPr>
              <w:jc w:val="center"/>
            </w:pPr>
            <w:r>
              <w:rPr>
                <w:b/>
                <w:color w:val="FFFFFF"/>
                <w:sz w:val="26"/>
              </w:rPr>
              <w:t>42.00%</w:t>
            </w:r>
          </w:p>
        </w:tc>
      </w:tr>
    </w:tbl>
    <w:p w14:paraId="0010002A" w14:textId="0010002B">
      <w:pPr>
        <w:spacing w:after="160"/>
      </w:pPr>
    </w:p>
    <w:p w14:paraId="0010002C" w14:textId="0010002D">
      <w:pPr>
        <w:pBdr>
          <w:bottom w:val="single" w:color="2E74B5" w:sz="6" w:space="1"/>
        </w:pBdr>
        <w:spacing w:after="200"/>
      </w:pPr>
    </w:p>
    <w:p w14:paraId="0010002E" w14:textId="0010002F">
      <w:pPr>
        <w:pStyle w:val="Heading1"/>
        <w:spacing w:before="240" w:after="120"/>
      </w:pPr>
      <w:r>
        <w:rPr>
          <w:color w:val="1F497D"/>
          <w:sz w:val="28"/>
        </w:rPr>
        <w:t>2.  Dataset Overview</w:t>
      </w:r>
    </w:p>
    <w:p w14:paraId="00100030" w14:textId="00100031">
      <w:pPr>
        <w:spacing w:before="0" w:after="160"/>
        <w:jc w:val="left"/>
      </w:pPr>
      <w:r>
        <w:rPr>
          <w:b w:val="0"/>
          <w:i w:val="0"/>
          <w:sz w:val="20"/>
        </w:rPr>
        <w:t>Shape: 25,000 rows × 29 columns  |  No missing values  |  No duplicate rows  |  Data types: 23 integer, 4 float, 2 string columns  |  Memory: 5.9 MB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>
        <w:tc>
          <w:tcPr>
            <w:tcW w:w="4873" w:type="dxa"/>
            <w:shd w:val="clear" w:color="auto" w:fill="1F497D"/>
          </w:tcPr>
          <w:p w14:paraId="00100032" w14:textId="00100033"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4873" w:type="dxa"/>
            <w:shd w:val="clear" w:color="auto" w:fill="1F497D"/>
          </w:tcPr>
          <w:p w14:paraId="00100034" w14:textId="00100035"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w="4873" w:type="dxa"/>
            <w:shd w:val="clear" w:color="auto" w:fill="EBF3FB"/>
          </w:tcPr>
          <w:p w14:paraId="00100036" w14:textId="00100037">
            <w:pPr>
              <w:jc w:val="center"/>
            </w:pPr>
            <w:r>
              <w:rPr>
                <w:sz w:val="18"/>
              </w:rPr>
              <w:t>Total Rows</w:t>
            </w:r>
          </w:p>
        </w:tc>
        <w:tc>
          <w:tcPr>
            <w:tcW w:w="4873" w:type="dxa"/>
            <w:shd w:val="clear" w:color="auto" w:fill="EBF3FB"/>
          </w:tcPr>
          <w:p w14:paraId="00100038" w14:textId="00100039">
            <w:pPr>
              <w:jc w:val="center"/>
            </w:pPr>
            <w:r>
              <w:rPr>
                <w:sz w:val="18"/>
              </w:rPr>
              <w:t>25,000</w:t>
            </w:r>
          </w:p>
        </w:tc>
      </w:tr>
      <w:tr>
        <w:tc>
          <w:tcPr>
            <w:tcW w:w="4873" w:type="dxa"/>
            <w:shd w:val="clear" w:color="auto" w:fill="FFFFFF"/>
          </w:tcPr>
          <w:p w14:paraId="0010003A" w14:textId="0010003B">
            <w:pPr>
              <w:jc w:val="center"/>
            </w:pPr>
            <w:r>
              <w:rPr>
                <w:sz w:val="18"/>
              </w:rPr>
              <w:t>Total Columns</w:t>
            </w:r>
          </w:p>
        </w:tc>
        <w:tc>
          <w:tcPr>
            <w:tcW w:w="4873" w:type="dxa"/>
            <w:shd w:val="clear" w:color="auto" w:fill="FFFFFF"/>
          </w:tcPr>
          <w:p w14:paraId="0010003C" w14:textId="0010003D">
            <w:pPr>
              <w:jc w:val="center"/>
            </w:pPr>
            <w:r>
              <w:rPr>
                <w:sz w:val="18"/>
              </w:rPr>
              <w:t>29</w:t>
            </w:r>
          </w:p>
        </w:tc>
      </w:tr>
      <w:tr>
        <w:tc>
          <w:tcPr>
            <w:tcW w:w="4873" w:type="dxa"/>
            <w:shd w:val="clear" w:color="auto" w:fill="EBF3FB"/>
          </w:tcPr>
          <w:p w14:paraId="0010003E" w14:textId="0010003F">
            <w:pPr>
              <w:jc w:val="center"/>
            </w:pPr>
            <w:r>
              <w:rPr>
                <w:sz w:val="18"/>
              </w:rPr>
              <w:t>Missing Values</w:t>
            </w:r>
          </w:p>
        </w:tc>
        <w:tc>
          <w:tcPr>
            <w:tcW w:w="4873" w:type="dxa"/>
            <w:shd w:val="clear" w:color="auto" w:fill="EBF3FB"/>
          </w:tcPr>
          <w:p w14:paraId="00100040" w14:textId="00100041"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w="4873" w:type="dxa"/>
            <w:shd w:val="clear" w:color="auto" w:fill="FFFFFF"/>
          </w:tcPr>
          <w:p w14:paraId="00100042" w14:textId="00100043">
            <w:pPr>
              <w:jc w:val="center"/>
            </w:pPr>
            <w:r>
              <w:rPr>
                <w:sz w:val="18"/>
              </w:rPr>
              <w:t>Duplicate Rows</w:t>
            </w:r>
          </w:p>
        </w:tc>
        <w:tc>
          <w:tcPr>
            <w:tcW w:w="4873" w:type="dxa"/>
            <w:shd w:val="clear" w:color="auto" w:fill="FFFFFF"/>
          </w:tcPr>
          <w:p w14:paraId="00100044" w14:textId="00100045"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w="4873" w:type="dxa"/>
            <w:shd w:val="clear" w:color="auto" w:fill="EBF3FB"/>
          </w:tcPr>
          <w:p w14:paraId="00100046" w14:textId="00100047">
            <w:pPr>
              <w:jc w:val="center"/>
            </w:pPr>
            <w:r>
              <w:rPr>
                <w:sz w:val="18"/>
              </w:rPr>
              <w:t>Purchased Sessions</w:t>
            </w:r>
          </w:p>
        </w:tc>
        <w:tc>
          <w:tcPr>
            <w:tcW w:w="4873" w:type="dxa"/>
            <w:shd w:val="clear" w:color="auto" w:fill="EBF3FB"/>
          </w:tcPr>
          <w:p w14:paraId="00100048" w14:textId="00100049">
            <w:pPr>
              <w:jc w:val="center"/>
            </w:pPr>
            <w:r>
              <w:rPr>
                <w:sz w:val="18"/>
              </w:rPr>
              <w:t>5,616  (22.46%)</w:t>
            </w:r>
          </w:p>
        </w:tc>
      </w:tr>
      <w:tr>
        <w:tc>
          <w:tcPr>
            <w:tcW w:w="4873" w:type="dxa"/>
            <w:shd w:val="clear" w:color="auto" w:fill="FFFFFF"/>
          </w:tcPr>
          <w:p w14:paraId="0010004A" w14:textId="0010004B">
            <w:pPr>
              <w:jc w:val="center"/>
            </w:pPr>
            <w:r>
              <w:rPr>
                <w:sz w:val="18"/>
              </w:rPr>
              <w:t>Not Purchased</w:t>
            </w:r>
          </w:p>
        </w:tc>
        <w:tc>
          <w:tcPr>
            <w:tcW w:w="4873" w:type="dxa"/>
            <w:shd w:val="clear" w:color="auto" w:fill="FFFFFF"/>
          </w:tcPr>
          <w:p w14:paraId="0010004C" w14:textId="0010004D">
            <w:pPr>
              <w:jc w:val="center"/>
            </w:pPr>
            <w:r>
              <w:rPr>
                <w:sz w:val="18"/>
              </w:rPr>
              <w:t>19,384  (77.54%)</w:t>
            </w:r>
          </w:p>
        </w:tc>
      </w:tr>
      <w:tr>
        <w:tc>
          <w:tcPr>
            <w:tcW w:w="4873" w:type="dxa"/>
            <w:shd w:val="clear" w:color="auto" w:fill="EBF3FB"/>
          </w:tcPr>
          <w:p w14:paraId="0010004E" w14:textId="0010004F">
            <w:pPr>
              <w:jc w:val="center"/>
            </w:pPr>
            <w:r>
              <w:rPr>
                <w:sz w:val="18"/>
              </w:rPr>
              <w:t>Date Range</w:t>
            </w:r>
          </w:p>
        </w:tc>
        <w:tc>
          <w:tcPr>
            <w:tcW w:w="4873" w:type="dxa"/>
            <w:shd w:val="clear" w:color="auto" w:fill="EBF3FB"/>
          </w:tcPr>
          <w:p w14:paraId="00100050" w14:textId="00100051">
            <w:pPr>
              <w:jc w:val="center"/>
            </w:pPr>
            <w:r>
              <w:rPr>
                <w:sz w:val="18"/>
              </w:rPr>
              <w:t>Jan 2024 – Dec 2024</w:t>
            </w:r>
          </w:p>
        </w:tc>
      </w:tr>
      <w:tr>
        <w:tc>
          <w:tcPr>
            <w:tcW w:w="4873" w:type="dxa"/>
            <w:shd w:val="clear" w:color="auto" w:fill="FFFFFF"/>
          </w:tcPr>
          <w:p w14:paraId="00100052" w14:textId="00100053">
            <w:pPr>
              <w:jc w:val="center"/>
            </w:pPr>
            <w:r>
              <w:rPr>
                <w:sz w:val="18"/>
              </w:rPr>
              <w:t>Unique Customers</w:t>
            </w:r>
          </w:p>
        </w:tc>
        <w:tc>
          <w:tcPr>
            <w:tcW w:w="4873" w:type="dxa"/>
            <w:shd w:val="clear" w:color="auto" w:fill="FFFFFF"/>
          </w:tcPr>
          <w:p w14:paraId="00100054" w14:textId="00100055">
            <w:pPr>
              <w:jc w:val="center"/>
            </w:pPr>
            <w:r>
              <w:rPr>
                <w:sz w:val="18"/>
              </w:rPr>
              <w:t>~10,000</w:t>
            </w:r>
          </w:p>
        </w:tc>
      </w:tr>
      <w:tr>
        <w:tc>
          <w:tcPr>
            <w:tcW w:w="4873" w:type="dxa"/>
            <w:shd w:val="clear" w:color="auto" w:fill="EBF3FB"/>
          </w:tcPr>
          <w:p w14:paraId="00100056" w14:textId="00100057">
            <w:pPr>
              <w:jc w:val="center"/>
            </w:pPr>
            <w:r>
              <w:rPr>
                <w:sz w:val="18"/>
              </w:rPr>
              <w:t>Unique Products</w:t>
            </w:r>
          </w:p>
        </w:tc>
        <w:tc>
          <w:tcPr>
            <w:tcW w:w="4873" w:type="dxa"/>
            <w:shd w:val="clear" w:color="auto" w:fill="EBF3FB"/>
          </w:tcPr>
          <w:p w14:paraId="00100058" w14:textId="00100059">
            <w:pPr>
              <w:jc w:val="center"/>
            </w:pPr>
            <w:r>
              <w:rPr>
                <w:sz w:val="18"/>
              </w:rPr>
              <w:t>~900</w:t>
            </w:r>
          </w:p>
        </w:tc>
      </w:tr>
      <w:tr>
        <w:tc>
          <w:tcPr>
            <w:tcW w:w="4873" w:type="dxa"/>
            <w:shd w:val="clear" w:color="auto" w:fill="FFFFFF"/>
          </w:tcPr>
          <w:p w14:paraId="0010005A" w14:textId="0010005B">
            <w:pPr>
              <w:jc w:val="center"/>
            </w:pPr>
            <w:r>
              <w:rPr>
                <w:sz w:val="18"/>
              </w:rPr>
              <w:t>Unique Locations</w:t>
            </w:r>
          </w:p>
        </w:tc>
        <w:tc>
          <w:tcPr>
            <w:tcW w:w="4873" w:type="dxa"/>
            <w:shd w:val="clear" w:color="auto" w:fill="FFFFFF"/>
          </w:tcPr>
          <w:p w14:paraId="0010005C" w14:textId="0010005D">
            <w:pPr>
              <w:jc w:val="center"/>
            </w:pPr>
            <w:r>
              <w:rPr>
                <w:sz w:val="18"/>
              </w:rPr>
              <w:t>216</w:t>
            </w:r>
          </w:p>
        </w:tc>
      </w:tr>
    </w:tbl>
    <w:p w14:paraId="0010005E" w14:textId="0010005F">
      <w:pPr>
        <w:spacing w:after="160"/>
      </w:pPr>
    </w:p>
    <w:p w14:paraId="00100060" w14:textId="00100061">
      <w:pPr>
        <w:pBdr>
          <w:bottom w:val="single" w:color="2E74B5" w:sz="6" w:space="1"/>
        </w:pBdr>
        <w:spacing w:after="200"/>
      </w:pPr>
    </w:p>
    <w:p w14:paraId="00100062" w14:textId="00100063">
      <w:pPr>
        <w:pStyle w:val="Heading1"/>
        <w:spacing w:before="240" w:after="120"/>
      </w:pPr>
      <w:r>
        <w:rPr>
          <w:color w:val="1F497D"/>
          <w:sz w:val="28"/>
        </w:rPr>
        <w:t>3.  Purchase Outcome Distribution</w:t>
      </w:r>
    </w:p>
    <w:p w14:paraId="00100064" w14:textId="00100065">
      <w:pPr>
        <w:spacing w:before="0" w:after="120"/>
        <w:jc w:val="left"/>
      </w:pPr>
      <w:r>
        <w:rPr>
          <w:b/>
          <w:i w:val="0"/>
          <w:sz w:val="20"/>
        </w:rPr>
        <w:t>Not Purchased: 19,384 sessions (77.54%)   |   Purchased: 5,616 sessions (22.46%)</w:t>
      </w:r>
    </w:p>
    <w:p w14:paraId="00100066" w14:textId="00100067"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4645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07_out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6450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100068" w14:textId="00100069">
      <w:pPr>
        <w:spacing w:after="200"/>
        <w:jc w:val="center"/>
      </w:pPr>
      <w:r>
        <w:rPr>
          <w:i/>
          <w:color w:val="646464"/>
          <w:sz w:val="18"/>
        </w:rPr>
        <w:t>Figure 1 — Purchase Outcome: Count (left) and Percentage Distribution (right)</w:t>
      </w:r>
    </w:p>
    <w:p w14:paraId="0010006A" w14:textId="0010006B">
      <w:pPr>
        <w:pBdr>
          <w:bottom w:val="single" w:color="2E74B5" w:sz="6" w:space="1"/>
        </w:pBdr>
        <w:spacing w:after="200"/>
      </w:pPr>
    </w:p>
    <w:p w14:paraId="0010006C" w14:textId="0010006D">
      <w:pPr>
        <w:pStyle w:val="Heading1"/>
        <w:spacing w:before="240" w:after="120"/>
      </w:pPr>
      <w:r>
        <w:rPr>
          <w:color w:val="1F497D"/>
          <w:sz w:val="28"/>
        </w:rPr>
        <w:t>4.  Numerical Feature Distributions</w:t>
      </w:r>
    </w:p>
    <w:p w14:paraId="0010006E" w14:textId="0010006F">
      <w:pPr>
        <w:spacing w:before="0" w:after="120"/>
        <w:jc w:val="left"/>
      </w:pPr>
      <w:r>
        <w:rPr>
          <w:b w:val="0"/>
          <w:i w:val="0"/>
          <w:sz w:val="20"/>
        </w:rPr>
        <w:t>Histograms for unit_price, quantity, discount_percent, revenue, pages_viewed, time_on_site_min, rating and total_spend reveal key data characteristics across the dataset.</w:t>
      </w:r>
    </w:p>
    <w:p w14:paraId="00100070" w14:textId="00100071"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8094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08_out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941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100072" w14:textId="00100073">
      <w:pPr>
        <w:spacing w:after="200"/>
        <w:jc w:val="center"/>
      </w:pPr>
      <w:r>
        <w:rPr>
          <w:i/>
          <w:color w:val="646464"/>
          <w:sz w:val="18"/>
        </w:rPr>
        <w:t>Figure 2 — Distribution of all numerical features</w:t>
      </w:r>
    </w:p>
    <w:p w14:paraId="00100074" w14:textId="00100075">
      <w:pPr>
        <w:pBdr>
          <w:bottom w:val="single" w:color="2E74B5" w:sz="6" w:space="1"/>
        </w:pBdr>
        <w:spacing w:after="200"/>
      </w:pPr>
    </w:p>
    <w:p w14:paraId="00100076" w14:textId="00100077">
      <w:pPr>
        <w:pStyle w:val="Heading1"/>
        <w:spacing w:before="240" w:after="120"/>
      </w:pPr>
      <w:r>
        <w:rPr>
          <w:color w:val="1F497D"/>
          <w:sz w:val="28"/>
        </w:rPr>
        <w:t>5.  Correlation Heatmap</w:t>
      </w:r>
    </w:p>
    <w:p w14:paraId="00100078" w14:textId="00100079">
      <w:pPr>
        <w:spacing w:before="0" w:after="120"/>
        <w:jc w:val="left"/>
      </w:pPr>
      <w:r>
        <w:rPr>
          <w:b w:val="0"/>
          <w:i w:val="0"/>
          <w:sz w:val="20"/>
        </w:rPr>
        <w:t>added_to_cart is strongly correlated with both purchased and cart_abandoned. Revenue correlates with unit_price × quantity. time_on_site_sec and pages_viewed show moderate positive correlation.</w:t>
      </w:r>
    </w:p>
    <w:p w14:paraId="0010007A" w14:textId="0010007B"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42954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09_out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9541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10007C" w14:textId="0010007D">
      <w:pPr>
        <w:spacing w:after="200"/>
        <w:jc w:val="center"/>
      </w:pPr>
      <w:r>
        <w:rPr>
          <w:i/>
          <w:color w:val="646464"/>
          <w:sz w:val="18"/>
        </w:rPr>
        <w:t>Figure 3 — Triangular correlation heatmap of numerical features</w:t>
      </w:r>
    </w:p>
    <w:p w14:paraId="0010007E" w14:textId="0010007F">
      <w:pPr>
        <w:pBdr>
          <w:bottom w:val="single" w:color="2E74B5" w:sz="6" w:space="1"/>
        </w:pBdr>
        <w:spacing w:after="200"/>
      </w:pPr>
    </w:p>
    <w:p w14:paraId="00100080" w14:textId="00100081">
      <w:pPr>
        <w:pStyle w:val="Heading1"/>
        <w:spacing w:before="240" w:after="120"/>
      </w:pPr>
      <w:r>
        <w:rPr>
          <w:color w:val="1F497D"/>
          <w:sz w:val="28"/>
        </w:rPr>
        <w:t>6.  Device Type Analysis</w:t>
      </w:r>
    </w:p>
    <w:p w14:paraId="00100082" w14:textId="00100083"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0302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10_out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3025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100084" w14:textId="00100085">
      <w:pPr>
        <w:spacing w:after="200"/>
        <w:jc w:val="center"/>
      </w:pPr>
      <w:r>
        <w:rPr>
          <w:i/>
          <w:color w:val="646464"/>
          <w:sz w:val="18"/>
        </w:rPr>
        <w:t>Figure 4 — Sessions and Conversion Rate by Device Type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>
        <w:tc>
          <w:tcPr>
            <w:tcW w:w="2436" w:type="dxa"/>
            <w:shd w:val="clear" w:color="auto" w:fill="1F497D"/>
          </w:tcPr>
          <w:p w14:paraId="00100086" w14:textId="00100087">
            <w:pPr>
              <w:jc w:val="center"/>
            </w:pPr>
            <w:r>
              <w:rPr>
                <w:b/>
                <w:color w:val="FFFFFF"/>
                <w:sz w:val="18"/>
              </w:rPr>
              <w:t>Device</w:t>
            </w:r>
          </w:p>
        </w:tc>
        <w:tc>
          <w:tcPr>
            <w:tcW w:w="2436" w:type="dxa"/>
            <w:shd w:val="clear" w:color="auto" w:fill="1F497D"/>
          </w:tcPr>
          <w:p w14:paraId="00100088" w14:textId="00100089">
            <w:pPr>
              <w:jc w:val="center"/>
            </w:pPr>
            <w:r>
              <w:rPr>
                <w:b/>
                <w:color w:val="FFFFFF"/>
                <w:sz w:val="18"/>
              </w:rPr>
              <w:t>Purchases</w:t>
            </w:r>
          </w:p>
        </w:tc>
        <w:tc>
          <w:tcPr>
            <w:tcW w:w="2436" w:type="dxa"/>
            <w:shd w:val="clear" w:color="auto" w:fill="1F497D"/>
          </w:tcPr>
          <w:p w14:paraId="0010008A" w14:textId="0010008B">
            <w:pPr>
              <w:jc w:val="center"/>
            </w:pPr>
            <w:r>
              <w:rPr>
                <w:b/>
                <w:color w:val="FFFFFF"/>
                <w:sz w:val="18"/>
              </w:rPr>
              <w:t>Total Sessions</w:t>
            </w:r>
          </w:p>
        </w:tc>
        <w:tc>
          <w:tcPr>
            <w:tcW w:w="2436" w:type="dxa"/>
            <w:shd w:val="clear" w:color="auto" w:fill="1F497D"/>
          </w:tcPr>
          <w:p w14:paraId="0010008C" w14:textId="0010008D">
            <w:pPr>
              <w:jc w:val="center"/>
            </w:pPr>
            <w:r>
              <w:rPr>
                <w:b/>
                <w:color w:val="FFFFFF"/>
                <w:sz w:val="18"/>
              </w:rPr>
              <w:t>Conversion Rate (%)</w:t>
            </w:r>
          </w:p>
        </w:tc>
      </w:tr>
      <w:tr>
        <w:tc>
          <w:tcPr>
            <w:tcW w:w="2436" w:type="dxa"/>
            <w:shd w:val="clear" w:color="auto" w:fill="EBF3FB"/>
          </w:tcPr>
          <w:p w14:paraId="0010008E" w14:textId="0010008F">
            <w:pPr>
              <w:jc w:val="center"/>
            </w:pPr>
            <w:r>
              <w:rPr>
                <w:sz w:val="18"/>
              </w:rPr>
              <w:t>Desktop</w:t>
            </w:r>
          </w:p>
        </w:tc>
        <w:tc>
          <w:tcPr>
            <w:tcW w:w="2436" w:type="dxa"/>
            <w:shd w:val="clear" w:color="auto" w:fill="EBF3FB"/>
          </w:tcPr>
          <w:p w14:paraId="00100090" w14:textId="00100091">
            <w:pPr>
              <w:jc w:val="center"/>
            </w:pPr>
            <w:r>
              <w:rPr>
                <w:sz w:val="18"/>
              </w:rPr>
              <w:t>2,221</w:t>
            </w:r>
          </w:p>
        </w:tc>
        <w:tc>
          <w:tcPr>
            <w:tcW w:w="2436" w:type="dxa"/>
            <w:shd w:val="clear" w:color="auto" w:fill="EBF3FB"/>
          </w:tcPr>
          <w:p w14:paraId="00100092" w14:textId="00100093">
            <w:pPr>
              <w:jc w:val="center"/>
            </w:pPr>
            <w:r>
              <w:rPr>
                <w:sz w:val="18"/>
              </w:rPr>
              <w:t>9,887</w:t>
            </w:r>
          </w:p>
        </w:tc>
        <w:tc>
          <w:tcPr>
            <w:tcW w:w="2436" w:type="dxa"/>
            <w:shd w:val="clear" w:color="auto" w:fill="EBF3FB"/>
          </w:tcPr>
          <w:p w14:paraId="00100094" w14:textId="00100095">
            <w:pPr>
              <w:jc w:val="center"/>
            </w:pPr>
            <w:r>
              <w:rPr>
                <w:sz w:val="18"/>
              </w:rPr>
              <w:t>22.46</w:t>
            </w:r>
          </w:p>
        </w:tc>
      </w:tr>
      <w:tr>
        <w:tc>
          <w:tcPr>
            <w:tcW w:w="2436" w:type="dxa"/>
            <w:shd w:val="clear" w:color="auto" w:fill="FFFFFF"/>
          </w:tcPr>
          <w:p w14:paraId="00100096" w14:textId="00100097">
            <w:pPr>
              <w:jc w:val="center"/>
            </w:pPr>
            <w:r>
              <w:rPr>
                <w:sz w:val="18"/>
              </w:rPr>
              <w:t>Mobile</w:t>
            </w:r>
          </w:p>
        </w:tc>
        <w:tc>
          <w:tcPr>
            <w:tcW w:w="2436" w:type="dxa"/>
            <w:shd w:val="clear" w:color="auto" w:fill="FFFFFF"/>
          </w:tcPr>
          <w:p w14:paraId="00100098" w14:textId="00100099">
            <w:pPr>
              <w:jc w:val="center"/>
            </w:pPr>
            <w:r>
              <w:rPr>
                <w:sz w:val="18"/>
              </w:rPr>
              <w:t>2,812</w:t>
            </w:r>
          </w:p>
        </w:tc>
        <w:tc>
          <w:tcPr>
            <w:tcW w:w="2436" w:type="dxa"/>
            <w:shd w:val="clear" w:color="auto" w:fill="FFFFFF"/>
          </w:tcPr>
          <w:p w14:paraId="0010009A" w14:textId="0010009B">
            <w:pPr>
              <w:jc w:val="center"/>
            </w:pPr>
            <w:r>
              <w:rPr>
                <w:sz w:val="18"/>
              </w:rPr>
              <w:t>12,600</w:t>
            </w:r>
          </w:p>
        </w:tc>
        <w:tc>
          <w:tcPr>
            <w:tcW w:w="2436" w:type="dxa"/>
            <w:shd w:val="clear" w:color="auto" w:fill="FFFFFF"/>
          </w:tcPr>
          <w:p w14:paraId="0010009C" w14:textId="0010009D">
            <w:pPr>
              <w:jc w:val="center"/>
            </w:pPr>
            <w:r>
              <w:rPr>
                <w:sz w:val="18"/>
              </w:rPr>
              <w:t>22.32</w:t>
            </w:r>
          </w:p>
        </w:tc>
      </w:tr>
      <w:tr>
        <w:tc>
          <w:tcPr>
            <w:tcW w:w="2436" w:type="dxa"/>
            <w:shd w:val="clear" w:color="auto" w:fill="EBF3FB"/>
          </w:tcPr>
          <w:p w14:paraId="0010009E" w14:textId="0010009F">
            <w:pPr>
              <w:jc w:val="center"/>
            </w:pPr>
            <w:r>
              <w:rPr>
                <w:sz w:val="18"/>
              </w:rPr>
              <w:t>Tablet</w:t>
            </w:r>
          </w:p>
        </w:tc>
        <w:tc>
          <w:tcPr>
            <w:tcW w:w="2436" w:type="dxa"/>
            <w:shd w:val="clear" w:color="auto" w:fill="EBF3FB"/>
          </w:tcPr>
          <w:p w14:paraId="001000A0" w14:textId="001000A1">
            <w:pPr>
              <w:jc w:val="center"/>
            </w:pPr>
            <w:r>
              <w:rPr>
                <w:sz w:val="18"/>
              </w:rPr>
              <w:t>583</w:t>
            </w:r>
          </w:p>
        </w:tc>
        <w:tc>
          <w:tcPr>
            <w:tcW w:w="2436" w:type="dxa"/>
            <w:shd w:val="clear" w:color="auto" w:fill="EBF3FB"/>
          </w:tcPr>
          <w:p w14:paraId="001000A2" w14:textId="001000A3">
            <w:pPr>
              <w:jc w:val="center"/>
            </w:pPr>
            <w:r>
              <w:rPr>
                <w:sz w:val="18"/>
              </w:rPr>
              <w:t>2,513</w:t>
            </w:r>
          </w:p>
        </w:tc>
        <w:tc>
          <w:tcPr>
            <w:tcW w:w="2436" w:type="dxa"/>
            <w:shd w:val="clear" w:color="auto" w:fill="EBF3FB"/>
          </w:tcPr>
          <w:p w14:paraId="001000A4" w14:textId="001000A5">
            <w:pPr>
              <w:jc w:val="center"/>
            </w:pPr>
            <w:r>
              <w:rPr>
                <w:sz w:val="18"/>
              </w:rPr>
              <w:t>23.20</w:t>
            </w:r>
          </w:p>
        </w:tc>
      </w:tr>
    </w:tbl>
    <w:p w14:paraId="001000A6" w14:textId="001000A7">
      <w:pPr>
        <w:spacing w:after="160"/>
      </w:pPr>
    </w:p>
    <w:p w14:paraId="001000A8" w14:textId="001000A9">
      <w:pPr>
        <w:spacing w:before="0" w:after="160"/>
        <w:jc w:val="left"/>
      </w:pPr>
      <w:r>
        <w:rPr>
          <w:b w:val="0"/>
          <w:i w:val="0"/>
          <w:sz w:val="20"/>
        </w:rPr>
        <w:t>Mobile drives the highest session volume (50.4% of all sessions). Tablet shows the best conversion rate at 23.20%. Desktop has the most evenly balanced conversion.</w:t>
      </w:r>
    </w:p>
    <w:p w14:paraId="001000AA" w14:textId="001000AB">
      <w:pPr>
        <w:pBdr>
          <w:bottom w:val="single" w:color="2E74B5" w:sz="6" w:space="1"/>
        </w:pBdr>
        <w:spacing w:after="200"/>
      </w:pPr>
    </w:p>
    <w:p w14:paraId="001000AC" w14:textId="001000AD">
      <w:pPr>
        <w:pStyle w:val="Heading1"/>
        <w:spacing w:before="240" w:after="120"/>
      </w:pPr>
      <w:r>
        <w:rPr>
          <w:color w:val="1F497D"/>
          <w:sz w:val="28"/>
        </w:rPr>
        <w:t>7.  New vs Returning Users</w:t>
      </w:r>
    </w:p>
    <w:p w14:paraId="001000AE" w14:textId="001000AF"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17558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11_out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5589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1000B0" w14:textId="001000B1">
      <w:pPr>
        <w:spacing w:after="200"/>
        <w:jc w:val="center"/>
      </w:pPr>
      <w:r>
        <w:rPr>
          <w:i/>
          <w:color w:val="646464"/>
          <w:sz w:val="18"/>
        </w:rPr>
        <w:t>Figure 5 — Avg Pages Viewed, Avg Time on Site, and Conversion Rate by User Type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w="1624" w:type="dxa"/>
            <w:shd w:val="clear" w:color="auto" w:fill="1F497D"/>
          </w:tcPr>
          <w:p w14:paraId="001000B2" w14:textId="001000B3">
            <w:pPr>
              <w:jc w:val="center"/>
            </w:pPr>
            <w:r>
              <w:rPr>
                <w:b/>
                <w:color w:val="FFFFFF"/>
                <w:sz w:val="18"/>
              </w:rPr>
              <w:t>User Type</w:t>
            </w:r>
          </w:p>
        </w:tc>
        <w:tc>
          <w:tcPr>
            <w:tcW w:w="1624" w:type="dxa"/>
            <w:shd w:val="clear" w:color="auto" w:fill="1F497D"/>
          </w:tcPr>
          <w:p w14:paraId="001000B4" w14:textId="001000B5">
            <w:pPr>
              <w:jc w:val="center"/>
            </w:pPr>
            <w:r>
              <w:rPr>
                <w:b/>
                <w:color w:val="FFFFFF"/>
                <w:sz w:val="18"/>
              </w:rPr>
              <w:t>Sessions</w:t>
            </w:r>
          </w:p>
        </w:tc>
        <w:tc>
          <w:tcPr>
            <w:tcW w:w="1624" w:type="dxa"/>
            <w:shd w:val="clear" w:color="auto" w:fill="1F497D"/>
          </w:tcPr>
          <w:p w14:paraId="001000B6" w14:textId="001000B7">
            <w:pPr>
              <w:jc w:val="center"/>
            </w:pPr>
            <w:r>
              <w:rPr>
                <w:b/>
                <w:color w:val="FFFFFF"/>
                <w:sz w:val="18"/>
              </w:rPr>
              <w:t>Avg Pages</w:t>
            </w:r>
          </w:p>
        </w:tc>
        <w:tc>
          <w:tcPr>
            <w:tcW w:w="1624" w:type="dxa"/>
            <w:shd w:val="clear" w:color="auto" w:fill="1F497D"/>
          </w:tcPr>
          <w:p w14:paraId="001000B8" w14:textId="001000B9">
            <w:pPr>
              <w:jc w:val="center"/>
            </w:pPr>
            <w:r>
              <w:rPr>
                <w:b/>
                <w:color w:val="FFFFFF"/>
                <w:sz w:val="18"/>
              </w:rPr>
              <w:t>Avg Time (min)</w:t>
            </w:r>
          </w:p>
        </w:tc>
        <w:tc>
          <w:tcPr>
            <w:tcW w:w="1624" w:type="dxa"/>
            <w:shd w:val="clear" w:color="auto" w:fill="1F497D"/>
          </w:tcPr>
          <w:p w14:paraId="001000BA" w14:textId="001000BB">
            <w:pPr>
              <w:jc w:val="center"/>
            </w:pPr>
            <w:r>
              <w:rPr>
                <w:b/>
                <w:color w:val="FFFFFF"/>
                <w:sz w:val="18"/>
              </w:rPr>
              <w:t>Avg Revenue (₹)</w:t>
            </w:r>
          </w:p>
        </w:tc>
        <w:tc>
          <w:tcPr>
            <w:tcW w:w="1624" w:type="dxa"/>
            <w:shd w:val="clear" w:color="auto" w:fill="1F497D"/>
          </w:tcPr>
          <w:p w14:paraId="001000BC" w14:textId="001000BD">
            <w:pPr>
              <w:jc w:val="center"/>
            </w:pPr>
            <w:r>
              <w:rPr>
                <w:b/>
                <w:color w:val="FFFFFF"/>
                <w:sz w:val="18"/>
              </w:rPr>
              <w:t>Conv. Rate (%)</w:t>
            </w:r>
          </w:p>
        </w:tc>
      </w:tr>
      <w:tr>
        <w:tc>
          <w:tcPr>
            <w:tcW w:w="1624" w:type="dxa"/>
            <w:shd w:val="clear" w:color="auto" w:fill="EBF3FB"/>
          </w:tcPr>
          <w:p w14:paraId="001000BE" w14:textId="001000BF">
            <w:pPr>
              <w:jc w:val="center"/>
            </w:pPr>
            <w:r>
              <w:rPr>
                <w:sz w:val="18"/>
              </w:rPr>
              <w:t>New User</w:t>
            </w:r>
          </w:p>
        </w:tc>
        <w:tc>
          <w:tcPr>
            <w:tcW w:w="1624" w:type="dxa"/>
            <w:shd w:val="clear" w:color="auto" w:fill="EBF3FB"/>
          </w:tcPr>
          <w:p w14:paraId="001000C0" w14:textId="001000C1">
            <w:pPr>
              <w:jc w:val="center"/>
            </w:pPr>
            <w:r>
              <w:rPr>
                <w:sz w:val="18"/>
              </w:rPr>
              <w:t>11,218</w:t>
            </w:r>
          </w:p>
        </w:tc>
        <w:tc>
          <w:tcPr>
            <w:tcW w:w="1624" w:type="dxa"/>
            <w:shd w:val="clear" w:color="auto" w:fill="EBF3FB"/>
          </w:tcPr>
          <w:p w14:paraId="001000C2" w14:textId="001000C3">
            <w:pPr>
              <w:jc w:val="center"/>
            </w:pPr>
            <w:r>
              <w:rPr>
                <w:sz w:val="18"/>
              </w:rPr>
              <w:t>12.42</w:t>
            </w:r>
          </w:p>
        </w:tc>
        <w:tc>
          <w:tcPr>
            <w:tcW w:w="1624" w:type="dxa"/>
            <w:shd w:val="clear" w:color="auto" w:fill="EBF3FB"/>
          </w:tcPr>
          <w:p w14:paraId="001000C4" w14:textId="001000C5">
            <w:pPr>
              <w:jc w:val="center"/>
            </w:pPr>
            <w:r>
              <w:rPr>
                <w:sz w:val="18"/>
              </w:rPr>
              <w:t>15.00</w:t>
            </w:r>
          </w:p>
        </w:tc>
        <w:tc>
          <w:tcPr>
            <w:tcW w:w="1624" w:type="dxa"/>
            <w:shd w:val="clear" w:color="auto" w:fill="EBF3FB"/>
          </w:tcPr>
          <w:p w14:paraId="001000C6" w14:textId="001000C7">
            <w:pPr>
              <w:jc w:val="center"/>
            </w:pPr>
            <w:r>
              <w:rPr>
                <w:sz w:val="18"/>
              </w:rPr>
              <w:t>338.94</w:t>
            </w:r>
          </w:p>
        </w:tc>
        <w:tc>
          <w:tcPr>
            <w:tcW w:w="1624" w:type="dxa"/>
            <w:shd w:val="clear" w:color="auto" w:fill="EBF3FB"/>
          </w:tcPr>
          <w:p w14:paraId="001000C8" w14:textId="001000C9">
            <w:pPr>
              <w:jc w:val="center"/>
            </w:pPr>
            <w:r>
              <w:rPr>
                <w:sz w:val="18"/>
              </w:rPr>
              <w:t>18.55</w:t>
            </w:r>
          </w:p>
        </w:tc>
      </w:tr>
      <w:tr>
        <w:tc>
          <w:tcPr>
            <w:tcW w:w="1624" w:type="dxa"/>
            <w:shd w:val="clear" w:color="auto" w:fill="FFFFFF"/>
          </w:tcPr>
          <w:p w14:paraId="001000CA" w14:textId="001000CB">
            <w:pPr>
              <w:jc w:val="center"/>
            </w:pPr>
            <w:r>
              <w:rPr>
                <w:sz w:val="18"/>
              </w:rPr>
              <w:t>Returning User</w:t>
            </w:r>
          </w:p>
        </w:tc>
        <w:tc>
          <w:tcPr>
            <w:tcW w:w="1624" w:type="dxa"/>
            <w:shd w:val="clear" w:color="auto" w:fill="FFFFFF"/>
          </w:tcPr>
          <w:p w14:paraId="001000CC" w14:textId="001000CD">
            <w:pPr>
              <w:jc w:val="center"/>
            </w:pPr>
            <w:r>
              <w:rPr>
                <w:sz w:val="18"/>
              </w:rPr>
              <w:t>13,782</w:t>
            </w:r>
          </w:p>
        </w:tc>
        <w:tc>
          <w:tcPr>
            <w:tcW w:w="1624" w:type="dxa"/>
            <w:shd w:val="clear" w:color="auto" w:fill="FFFFFF"/>
          </w:tcPr>
          <w:p w14:paraId="001000CE" w14:textId="001000CF">
            <w:pPr>
              <w:jc w:val="center"/>
            </w:pPr>
            <w:r>
              <w:rPr>
                <w:sz w:val="18"/>
              </w:rPr>
              <w:t>12.63</w:t>
            </w:r>
          </w:p>
        </w:tc>
        <w:tc>
          <w:tcPr>
            <w:tcW w:w="1624" w:type="dxa"/>
            <w:shd w:val="clear" w:color="auto" w:fill="FFFFFF"/>
          </w:tcPr>
          <w:p w14:paraId="001000D0" w14:textId="001000D1">
            <w:pPr>
              <w:jc w:val="center"/>
            </w:pPr>
            <w:r>
              <w:rPr>
                <w:sz w:val="18"/>
              </w:rPr>
              <w:t>15.10</w:t>
            </w:r>
          </w:p>
        </w:tc>
        <w:tc>
          <w:tcPr>
            <w:tcW w:w="1624" w:type="dxa"/>
            <w:shd w:val="clear" w:color="auto" w:fill="FFFFFF"/>
          </w:tcPr>
          <w:p w14:paraId="001000D2" w14:textId="001000D3">
            <w:pPr>
              <w:jc w:val="center"/>
            </w:pPr>
            <w:r>
              <w:rPr>
                <w:sz w:val="18"/>
              </w:rPr>
              <w:t>458.13</w:t>
            </w:r>
          </w:p>
        </w:tc>
        <w:tc>
          <w:tcPr>
            <w:tcW w:w="1624" w:type="dxa"/>
            <w:shd w:val="clear" w:color="auto" w:fill="FFFFFF"/>
          </w:tcPr>
          <w:p w14:paraId="001000D4" w14:textId="001000D5">
            <w:pPr>
              <w:jc w:val="center"/>
            </w:pPr>
            <w:r>
              <w:rPr>
                <w:sz w:val="18"/>
              </w:rPr>
              <w:t>25.65</w:t>
            </w:r>
          </w:p>
        </w:tc>
      </w:tr>
    </w:tbl>
    <w:p w14:paraId="001000D6" w14:textId="001000D7">
      <w:pPr>
        <w:spacing w:after="160"/>
      </w:pPr>
    </w:p>
    <w:p w14:paraId="001000D8" w14:textId="001000D9">
      <w:pPr>
        <w:spacing w:before="0" w:after="160"/>
        <w:jc w:val="left"/>
      </w:pPr>
      <w:r>
        <w:rPr>
          <w:b w:val="0"/>
          <w:i w:val="0"/>
          <w:sz w:val="20"/>
        </w:rPr>
        <w:t>Returning users convert 38% better than new users and generate 35% higher average revenue per session.</w:t>
      </w:r>
    </w:p>
    <w:p w14:paraId="001000DA" w14:textId="001000DB">
      <w:pPr>
        <w:pBdr>
          <w:bottom w:val="single" w:color="2E74B5" w:sz="6" w:space="1"/>
        </w:pBdr>
        <w:spacing w:after="200"/>
      </w:pPr>
    </w:p>
    <w:p w14:paraId="001000DC" w14:textId="001000DD">
      <w:pPr>
        <w:pStyle w:val="Heading1"/>
        <w:spacing w:before="240" w:after="120"/>
      </w:pPr>
      <w:r>
        <w:rPr>
          <w:color w:val="1F497D"/>
          <w:sz w:val="28"/>
        </w:rPr>
        <w:t>8.  Session Duration Analysis</w:t>
      </w:r>
    </w:p>
    <w:p w14:paraId="001000DE" w14:textId="001000DF"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175589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12_out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5589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1000E0" w14:textId="001000E1">
      <w:pPr>
        <w:spacing w:after="200"/>
        <w:jc w:val="center"/>
      </w:pPr>
      <w:r>
        <w:rPr>
          <w:i/>
          <w:color w:val="646464"/>
          <w:sz w:val="18"/>
        </w:rPr>
        <w:t>Figure 6 — Conversion Rate, Avg Revenue, and Cart Abandon Rate by Session Duration Bucket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w="1949" w:type="dxa"/>
            <w:shd w:val="clear" w:color="auto" w:fill="1F497D"/>
          </w:tcPr>
          <w:p w14:paraId="001000E2" w14:textId="001000E3">
            <w:pPr>
              <w:jc w:val="center"/>
            </w:pPr>
            <w:r>
              <w:rPr>
                <w:b/>
                <w:color w:val="FFFFFF"/>
                <w:sz w:val="18"/>
              </w:rPr>
              <w:t>Duration Bucket</w:t>
            </w:r>
          </w:p>
        </w:tc>
        <w:tc>
          <w:tcPr>
            <w:tcW w:w="1949" w:type="dxa"/>
            <w:shd w:val="clear" w:color="auto" w:fill="1F497D"/>
          </w:tcPr>
          <w:p w14:paraId="001000E4" w14:textId="001000E5">
            <w:pPr>
              <w:jc w:val="center"/>
            </w:pPr>
            <w:r>
              <w:rPr>
                <w:b/>
                <w:color w:val="FFFFFF"/>
                <w:sz w:val="18"/>
              </w:rPr>
              <w:t>Sessions</w:t>
            </w:r>
          </w:p>
        </w:tc>
        <w:tc>
          <w:tcPr>
            <w:tcW w:w="1949" w:type="dxa"/>
            <w:shd w:val="clear" w:color="auto" w:fill="1F497D"/>
          </w:tcPr>
          <w:p w14:paraId="001000E6" w14:textId="001000E7">
            <w:pPr>
              <w:jc w:val="center"/>
            </w:pPr>
            <w:r>
              <w:rPr>
                <w:b/>
                <w:color w:val="FFFFFF"/>
                <w:sz w:val="18"/>
              </w:rPr>
              <w:t>Conv. Rate (%)</w:t>
            </w:r>
          </w:p>
        </w:tc>
        <w:tc>
          <w:tcPr>
            <w:tcW w:w="1949" w:type="dxa"/>
            <w:shd w:val="clear" w:color="auto" w:fill="1F497D"/>
          </w:tcPr>
          <w:p w14:paraId="001000E8" w14:textId="001000E9">
            <w:pPr>
              <w:jc w:val="center"/>
            </w:pPr>
            <w:r>
              <w:rPr>
                <w:b/>
                <w:color w:val="FFFFFF"/>
                <w:sz w:val="18"/>
              </w:rPr>
              <w:t>Avg Revenue (₹)</w:t>
            </w:r>
          </w:p>
        </w:tc>
        <w:tc>
          <w:tcPr>
            <w:tcW w:w="1949" w:type="dxa"/>
            <w:shd w:val="clear" w:color="auto" w:fill="1F497D"/>
          </w:tcPr>
          <w:p w14:paraId="001000EA" w14:textId="001000EB">
            <w:pPr>
              <w:jc w:val="center"/>
            </w:pPr>
            <w:r>
              <w:rPr>
                <w:b/>
                <w:color w:val="FFFFFF"/>
                <w:sz w:val="18"/>
              </w:rPr>
              <w:t>Cart Abandon (%)</w:t>
            </w:r>
          </w:p>
        </w:tc>
      </w:tr>
      <w:tr>
        <w:tc>
          <w:tcPr>
            <w:tcW w:w="1949" w:type="dxa"/>
            <w:shd w:val="clear" w:color="auto" w:fill="EBF3FB"/>
          </w:tcPr>
          <w:p w14:paraId="001000EC" w14:textId="001000ED">
            <w:pPr>
              <w:jc w:val="center"/>
            </w:pPr>
            <w:r>
              <w:rPr>
                <w:sz w:val="18"/>
              </w:rPr>
              <w:t>Very Short</w:t>
            </w:r>
          </w:p>
        </w:tc>
        <w:tc>
          <w:tcPr>
            <w:tcW w:w="1949" w:type="dxa"/>
            <w:shd w:val="clear" w:color="auto" w:fill="EBF3FB"/>
          </w:tcPr>
          <w:p w14:paraId="001000EE" w14:textId="001000EF">
            <w:pPr>
              <w:jc w:val="center"/>
            </w:pPr>
            <w:r>
              <w:rPr>
                <w:sz w:val="18"/>
              </w:rPr>
              <w:t>6,270</w:t>
            </w:r>
          </w:p>
        </w:tc>
        <w:tc>
          <w:tcPr>
            <w:tcW w:w="1949" w:type="dxa"/>
            <w:shd w:val="clear" w:color="auto" w:fill="EBF3FB"/>
          </w:tcPr>
          <w:p w14:paraId="001000F0" w14:textId="001000F1">
            <w:pPr>
              <w:jc w:val="center"/>
            </w:pPr>
            <w:r>
              <w:rPr>
                <w:sz w:val="18"/>
              </w:rPr>
              <w:t>20.24</w:t>
            </w:r>
          </w:p>
        </w:tc>
        <w:tc>
          <w:tcPr>
            <w:tcW w:w="1949" w:type="dxa"/>
            <w:shd w:val="clear" w:color="auto" w:fill="EBF3FB"/>
          </w:tcPr>
          <w:p w14:paraId="001000F2" w14:textId="001000F3">
            <w:pPr>
              <w:jc w:val="center"/>
            </w:pPr>
            <w:r>
              <w:rPr>
                <w:sz w:val="18"/>
              </w:rPr>
              <w:t>345.85</w:t>
            </w:r>
          </w:p>
        </w:tc>
        <w:tc>
          <w:tcPr>
            <w:tcW w:w="1949" w:type="dxa"/>
            <w:shd w:val="clear" w:color="auto" w:fill="EBF3FB"/>
          </w:tcPr>
          <w:p w14:paraId="001000F4" w14:textId="001000F5">
            <w:pPr>
              <w:jc w:val="center"/>
            </w:pPr>
            <w:r>
              <w:rPr>
                <w:sz w:val="18"/>
              </w:rPr>
              <w:t>44.13</w:t>
            </w:r>
          </w:p>
        </w:tc>
      </w:tr>
      <w:tr>
        <w:tc>
          <w:tcPr>
            <w:tcW w:w="1949" w:type="dxa"/>
            <w:shd w:val="clear" w:color="auto" w:fill="FFFFFF"/>
          </w:tcPr>
          <w:p w14:paraId="001000F6" w14:textId="001000F7">
            <w:pPr>
              <w:jc w:val="center"/>
            </w:pPr>
            <w:r>
              <w:rPr>
                <w:sz w:val="18"/>
              </w:rPr>
              <w:t>Short</w:t>
            </w:r>
          </w:p>
        </w:tc>
        <w:tc>
          <w:tcPr>
            <w:tcW w:w="1949" w:type="dxa"/>
            <w:shd w:val="clear" w:color="auto" w:fill="FFFFFF"/>
          </w:tcPr>
          <w:p w14:paraId="001000F8" w14:textId="001000F9">
            <w:pPr>
              <w:jc w:val="center"/>
            </w:pPr>
            <w:r>
              <w:rPr>
                <w:sz w:val="18"/>
              </w:rPr>
              <w:t>6,236</w:t>
            </w:r>
          </w:p>
        </w:tc>
        <w:tc>
          <w:tcPr>
            <w:tcW w:w="1949" w:type="dxa"/>
            <w:shd w:val="clear" w:color="auto" w:fill="FFFFFF"/>
          </w:tcPr>
          <w:p w14:paraId="001000FA" w14:textId="001000FB">
            <w:pPr>
              <w:jc w:val="center"/>
            </w:pPr>
            <w:r>
              <w:rPr>
                <w:sz w:val="18"/>
              </w:rPr>
              <w:t>22.79</w:t>
            </w:r>
          </w:p>
        </w:tc>
        <w:tc>
          <w:tcPr>
            <w:tcW w:w="1949" w:type="dxa"/>
            <w:shd w:val="clear" w:color="auto" w:fill="FFFFFF"/>
          </w:tcPr>
          <w:p w14:paraId="001000FC" w14:textId="001000FD">
            <w:pPr>
              <w:jc w:val="center"/>
            </w:pPr>
            <w:r>
              <w:rPr>
                <w:sz w:val="18"/>
              </w:rPr>
              <w:t>418.52</w:t>
            </w:r>
          </w:p>
        </w:tc>
        <w:tc>
          <w:tcPr>
            <w:tcW w:w="1949" w:type="dxa"/>
            <w:shd w:val="clear" w:color="auto" w:fill="FFFFFF"/>
          </w:tcPr>
          <w:p w14:paraId="001000FE" w14:textId="001000FF">
            <w:pPr>
              <w:jc w:val="center"/>
            </w:pPr>
            <w:r>
              <w:rPr>
                <w:sz w:val="18"/>
              </w:rPr>
              <w:t>42.45</w:t>
            </w:r>
          </w:p>
        </w:tc>
      </w:tr>
      <w:tr>
        <w:tc>
          <w:tcPr>
            <w:tcW w:w="1949" w:type="dxa"/>
            <w:shd w:val="clear" w:color="auto" w:fill="EBF3FB"/>
          </w:tcPr>
          <w:p w14:paraId="00100100" w14:textId="00100101">
            <w:pPr>
              <w:jc w:val="center"/>
            </w:pPr>
            <w:r>
              <w:rPr>
                <w:sz w:val="18"/>
              </w:rPr>
              <w:t>Long</w:t>
            </w:r>
          </w:p>
        </w:tc>
        <w:tc>
          <w:tcPr>
            <w:tcW w:w="1949" w:type="dxa"/>
            <w:shd w:val="clear" w:color="auto" w:fill="EBF3FB"/>
          </w:tcPr>
          <w:p w14:paraId="00100102" w14:textId="00100103">
            <w:pPr>
              <w:jc w:val="center"/>
            </w:pPr>
            <w:r>
              <w:rPr>
                <w:sz w:val="18"/>
              </w:rPr>
              <w:t>6,254</w:t>
            </w:r>
          </w:p>
        </w:tc>
        <w:tc>
          <w:tcPr>
            <w:tcW w:w="1949" w:type="dxa"/>
            <w:shd w:val="clear" w:color="auto" w:fill="EBF3FB"/>
          </w:tcPr>
          <w:p w14:paraId="00100104" w14:textId="00100105">
            <w:pPr>
              <w:jc w:val="center"/>
            </w:pPr>
            <w:r>
              <w:rPr>
                <w:sz w:val="18"/>
              </w:rPr>
              <w:t>23.62</w:t>
            </w:r>
          </w:p>
        </w:tc>
        <w:tc>
          <w:tcPr>
            <w:tcW w:w="1949" w:type="dxa"/>
            <w:shd w:val="clear" w:color="auto" w:fill="EBF3FB"/>
          </w:tcPr>
          <w:p w14:paraId="00100106" w14:textId="00100107">
            <w:pPr>
              <w:jc w:val="center"/>
            </w:pPr>
            <w:r>
              <w:rPr>
                <w:sz w:val="18"/>
              </w:rPr>
              <w:t>435.06</w:t>
            </w:r>
          </w:p>
        </w:tc>
        <w:tc>
          <w:tcPr>
            <w:tcW w:w="1949" w:type="dxa"/>
            <w:shd w:val="clear" w:color="auto" w:fill="EBF3FB"/>
          </w:tcPr>
          <w:p w14:paraId="00100108" w14:textId="00100109">
            <w:pPr>
              <w:jc w:val="center"/>
            </w:pPr>
            <w:r>
              <w:rPr>
                <w:sz w:val="18"/>
              </w:rPr>
              <w:t>40.71</w:t>
            </w:r>
          </w:p>
        </w:tc>
      </w:tr>
      <w:tr>
        <w:tc>
          <w:tcPr>
            <w:tcW w:w="1949" w:type="dxa"/>
            <w:shd w:val="clear" w:color="auto" w:fill="FFFFFF"/>
          </w:tcPr>
          <w:p w14:paraId="0010010A" w14:textId="0010010B">
            <w:pPr>
              <w:jc w:val="center"/>
            </w:pPr>
            <w:r>
              <w:rPr>
                <w:sz w:val="18"/>
              </w:rPr>
              <w:t>Very Long</w:t>
            </w:r>
          </w:p>
        </w:tc>
        <w:tc>
          <w:tcPr>
            <w:tcW w:w="1949" w:type="dxa"/>
            <w:shd w:val="clear" w:color="auto" w:fill="FFFFFF"/>
          </w:tcPr>
          <w:p w14:paraId="0010010C" w14:textId="0010010D">
            <w:pPr>
              <w:jc w:val="center"/>
            </w:pPr>
            <w:r>
              <w:rPr>
                <w:sz w:val="18"/>
              </w:rPr>
              <w:t>6,240</w:t>
            </w:r>
          </w:p>
        </w:tc>
        <w:tc>
          <w:tcPr>
            <w:tcW w:w="1949" w:type="dxa"/>
            <w:shd w:val="clear" w:color="auto" w:fill="FFFFFF"/>
          </w:tcPr>
          <w:p w14:paraId="0010010E" w14:textId="0010010F">
            <w:pPr>
              <w:jc w:val="center"/>
            </w:pPr>
            <w:r>
              <w:rPr>
                <w:sz w:val="18"/>
              </w:rPr>
              <w:t>23.22</w:t>
            </w:r>
          </w:p>
        </w:tc>
        <w:tc>
          <w:tcPr>
            <w:tcW w:w="1949" w:type="dxa"/>
            <w:shd w:val="clear" w:color="auto" w:fill="FFFFFF"/>
          </w:tcPr>
          <w:p w14:paraId="00100110" w14:textId="00100111">
            <w:pPr>
              <w:jc w:val="center"/>
            </w:pPr>
            <w:r>
              <w:rPr>
                <w:sz w:val="18"/>
              </w:rPr>
              <w:t>419.38</w:t>
            </w:r>
          </w:p>
        </w:tc>
        <w:tc>
          <w:tcPr>
            <w:tcW w:w="1949" w:type="dxa"/>
            <w:shd w:val="clear" w:color="auto" w:fill="FFFFFF"/>
          </w:tcPr>
          <w:p w14:paraId="00100112" w14:textId="00100113">
            <w:pPr>
              <w:jc w:val="center"/>
            </w:pPr>
            <w:r>
              <w:rPr>
                <w:sz w:val="18"/>
              </w:rPr>
              <w:t>40.72</w:t>
            </w:r>
          </w:p>
        </w:tc>
      </w:tr>
    </w:tbl>
    <w:p w14:paraId="00100114" w14:textId="00100115">
      <w:pPr>
        <w:spacing w:after="160"/>
      </w:pPr>
    </w:p>
    <w:p w14:paraId="00100116" w14:textId="00100117">
      <w:pPr>
        <w:spacing w:before="0" w:after="160"/>
        <w:jc w:val="left"/>
      </w:pPr>
      <w:r>
        <w:rPr>
          <w:b w:val="0"/>
          <w:i w:val="0"/>
          <w:sz w:val="20"/>
        </w:rPr>
        <w:t>Longer sessions show higher conversion rates and lower cart abandonment — retaining users on-site is critical.</w:t>
      </w:r>
    </w:p>
    <w:p w14:paraId="00100118" w14:textId="00100119">
      <w:pPr>
        <w:pBdr>
          <w:bottom w:val="single" w:color="2E74B5" w:sz="6" w:space="1"/>
        </w:pBdr>
        <w:spacing w:after="200"/>
      </w:pPr>
    </w:p>
    <w:p w14:paraId="0010011A" w14:textId="0010011B">
      <w:pPr>
        <w:pStyle w:val="Heading1"/>
        <w:spacing w:before="240" w:after="120"/>
      </w:pPr>
      <w:r>
        <w:rPr>
          <w:color w:val="1F497D"/>
          <w:sz w:val="28"/>
        </w:rPr>
        <w:t>9.  Monthly Revenue &amp; Average Order Value Trend</w:t>
      </w:r>
    </w:p>
    <w:p w14:paraId="0010011C" w14:textId="0010011D"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505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13_out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52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10011E" w14:textId="0010011F">
      <w:pPr>
        <w:spacing w:after="200"/>
        <w:jc w:val="center"/>
      </w:pPr>
      <w:r>
        <w:rPr>
          <w:i/>
          <w:color w:val="646464"/>
          <w:sz w:val="18"/>
        </w:rPr>
        <w:t>Figure 7 — Monthly Total Revenue and Average Order Value (Jan–Dec 2024)</w:t>
      </w:r>
    </w:p>
    <w:p w14:paraId="00100120" w14:textId="00100121">
      <w:pPr>
        <w:spacing w:before="0" w:after="160"/>
        <w:jc w:val="left"/>
      </w:pPr>
      <w:r>
        <w:rPr>
          <w:b w:val="0"/>
          <w:i w:val="0"/>
          <w:sz w:val="20"/>
        </w:rPr>
        <w:t>Revenue peaks in Q4 (Oct–Dec) driven by Diwali and year-end festive sales. January and February show the lowest activity.</w:t>
      </w:r>
    </w:p>
    <w:p w14:paraId="00100122" w14:textId="00100123">
      <w:pPr>
        <w:pBdr>
          <w:bottom w:val="single" w:color="2E74B5" w:sz="6" w:space="1"/>
        </w:pBdr>
        <w:spacing w:after="200"/>
      </w:pPr>
    </w:p>
    <w:p w14:paraId="00100124" w14:textId="00100125">
      <w:pPr>
        <w:pStyle w:val="Heading1"/>
        <w:spacing w:before="240" w:after="120"/>
      </w:pPr>
      <w:r>
        <w:rPr>
          <w:color w:val="1F497D"/>
          <w:sz w:val="28"/>
        </w:rPr>
        <w:t>10.  Seasonal Revenue Analysis</w:t>
      </w:r>
    </w:p>
    <w:p w14:paraId="00100126" w14:textId="00100127"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03025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14_out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3025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100128" w14:textId="00100129">
      <w:pPr>
        <w:spacing w:after="200"/>
        <w:jc w:val="center"/>
      </w:pPr>
      <w:r>
        <w:rPr>
          <w:i/>
          <w:color w:val="646464"/>
          <w:sz w:val="18"/>
        </w:rPr>
        <w:t>Figure 8 — Total Revenue and Avg Order Value by Season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>
        <w:tc>
          <w:tcPr>
            <w:tcW w:w="2436" w:type="dxa"/>
            <w:shd w:val="clear" w:color="auto" w:fill="1F497D"/>
          </w:tcPr>
          <w:p w14:paraId="0010012A" w14:textId="0010012B">
            <w:pPr>
              <w:jc w:val="center"/>
            </w:pPr>
            <w:r>
              <w:rPr>
                <w:b/>
                <w:color w:val="FFFFFF"/>
                <w:sz w:val="18"/>
              </w:rPr>
              <w:t>Season</w:t>
            </w:r>
          </w:p>
        </w:tc>
        <w:tc>
          <w:tcPr>
            <w:tcW w:w="2436" w:type="dxa"/>
            <w:shd w:val="clear" w:color="auto" w:fill="1F497D"/>
          </w:tcPr>
          <w:p w14:paraId="0010012C" w14:textId="0010012D">
            <w:pPr>
              <w:jc w:val="center"/>
            </w:pPr>
            <w:r>
              <w:rPr>
                <w:b/>
                <w:color w:val="FFFFFF"/>
                <w:sz w:val="18"/>
              </w:rPr>
              <w:t>Total Revenue (₹)</w:t>
            </w:r>
          </w:p>
        </w:tc>
        <w:tc>
          <w:tcPr>
            <w:tcW w:w="2436" w:type="dxa"/>
            <w:shd w:val="clear" w:color="auto" w:fill="1F497D"/>
          </w:tcPr>
          <w:p w14:paraId="0010012E" w14:textId="0010012F">
            <w:pPr>
              <w:jc w:val="center"/>
            </w:pPr>
            <w:r>
              <w:rPr>
                <w:b/>
                <w:color w:val="FFFFFF"/>
                <w:sz w:val="18"/>
              </w:rPr>
              <w:t>Sessions</w:t>
            </w:r>
          </w:p>
        </w:tc>
        <w:tc>
          <w:tcPr>
            <w:tcW w:w="2436" w:type="dxa"/>
            <w:shd w:val="clear" w:color="auto" w:fill="1F497D"/>
          </w:tcPr>
          <w:p w14:paraId="00100130" w14:textId="00100131">
            <w:pPr>
              <w:jc w:val="center"/>
            </w:pPr>
            <w:r>
              <w:rPr>
                <w:b/>
                <w:color w:val="FFFFFF"/>
                <w:sz w:val="18"/>
              </w:rPr>
              <w:t>Avg Revenue (₹)</w:t>
            </w:r>
          </w:p>
        </w:tc>
      </w:tr>
      <w:tr>
        <w:tc>
          <w:tcPr>
            <w:tcW w:w="2436" w:type="dxa"/>
            <w:shd w:val="clear" w:color="auto" w:fill="EBF3FB"/>
          </w:tcPr>
          <w:p w14:paraId="00100132" w14:textId="00100133">
            <w:pPr>
              <w:jc w:val="center"/>
            </w:pPr>
            <w:r>
              <w:rPr>
                <w:sz w:val="18"/>
              </w:rPr>
              <w:t>Autumn</w:t>
            </w:r>
          </w:p>
        </w:tc>
        <w:tc>
          <w:tcPr>
            <w:tcW w:w="2436" w:type="dxa"/>
            <w:shd w:val="clear" w:color="auto" w:fill="EBF3FB"/>
          </w:tcPr>
          <w:p w14:paraId="00100134" w14:textId="00100135">
            <w:pPr>
              <w:jc w:val="center"/>
            </w:pPr>
            <w:r>
              <w:rPr>
                <w:sz w:val="18"/>
              </w:rPr>
              <w:t>25,67,025.39</w:t>
            </w:r>
          </w:p>
        </w:tc>
        <w:tc>
          <w:tcPr>
            <w:tcW w:w="2436" w:type="dxa"/>
            <w:shd w:val="clear" w:color="auto" w:fill="EBF3FB"/>
          </w:tcPr>
          <w:p w14:paraId="00100136" w14:textId="00100137">
            <w:pPr>
              <w:jc w:val="center"/>
            </w:pPr>
            <w:r>
              <w:rPr>
                <w:sz w:val="18"/>
              </w:rPr>
              <w:t>1,443</w:t>
            </w:r>
          </w:p>
        </w:tc>
        <w:tc>
          <w:tcPr>
            <w:tcW w:w="2436" w:type="dxa"/>
            <w:shd w:val="clear" w:color="auto" w:fill="EBF3FB"/>
          </w:tcPr>
          <w:p w14:paraId="00100138" w14:textId="00100139">
            <w:pPr>
              <w:jc w:val="center"/>
            </w:pPr>
            <w:r>
              <w:rPr>
                <w:sz w:val="18"/>
              </w:rPr>
              <w:t>1,778.95</w:t>
            </w:r>
          </w:p>
        </w:tc>
      </w:tr>
      <w:tr>
        <w:tc>
          <w:tcPr>
            <w:tcW w:w="2436" w:type="dxa"/>
            <w:shd w:val="clear" w:color="auto" w:fill="FFFFFF"/>
          </w:tcPr>
          <w:p w14:paraId="0010013A" w14:textId="0010013B">
            <w:pPr>
              <w:jc w:val="center"/>
            </w:pPr>
            <w:r>
              <w:rPr>
                <w:sz w:val="18"/>
              </w:rPr>
              <w:t>Summer</w:t>
            </w:r>
          </w:p>
        </w:tc>
        <w:tc>
          <w:tcPr>
            <w:tcW w:w="2436" w:type="dxa"/>
            <w:shd w:val="clear" w:color="auto" w:fill="FFFFFF"/>
          </w:tcPr>
          <w:p w14:paraId="0010013C" w14:textId="0010013D">
            <w:pPr>
              <w:jc w:val="center"/>
            </w:pPr>
            <w:r>
              <w:rPr>
                <w:sz w:val="18"/>
              </w:rPr>
              <w:t>25,36,656.73</w:t>
            </w:r>
          </w:p>
        </w:tc>
        <w:tc>
          <w:tcPr>
            <w:tcW w:w="2436" w:type="dxa"/>
            <w:shd w:val="clear" w:color="auto" w:fill="FFFFFF"/>
          </w:tcPr>
          <w:p w14:paraId="0010013E" w14:textId="0010013F">
            <w:pPr>
              <w:jc w:val="center"/>
            </w:pPr>
            <w:r>
              <w:rPr>
                <w:sz w:val="18"/>
              </w:rPr>
              <w:t>1,427</w:t>
            </w:r>
          </w:p>
        </w:tc>
        <w:tc>
          <w:tcPr>
            <w:tcW w:w="2436" w:type="dxa"/>
            <w:shd w:val="clear" w:color="auto" w:fill="FFFFFF"/>
          </w:tcPr>
          <w:p w14:paraId="00100140" w14:textId="00100141">
            <w:pPr>
              <w:jc w:val="center"/>
            </w:pPr>
            <w:r>
              <w:rPr>
                <w:sz w:val="18"/>
              </w:rPr>
              <w:t>1,777.62</w:t>
            </w:r>
          </w:p>
        </w:tc>
      </w:tr>
      <w:tr>
        <w:tc>
          <w:tcPr>
            <w:tcW w:w="2436" w:type="dxa"/>
            <w:shd w:val="clear" w:color="auto" w:fill="EBF3FB"/>
          </w:tcPr>
          <w:p w14:paraId="00100142" w14:textId="00100143">
            <w:pPr>
              <w:jc w:val="center"/>
            </w:pPr>
            <w:r>
              <w:rPr>
                <w:sz w:val="18"/>
              </w:rPr>
              <w:t>Spring</w:t>
            </w:r>
          </w:p>
        </w:tc>
        <w:tc>
          <w:tcPr>
            <w:tcW w:w="2436" w:type="dxa"/>
            <w:shd w:val="clear" w:color="auto" w:fill="EBF3FB"/>
          </w:tcPr>
          <w:p w14:paraId="00100144" w14:textId="00100145">
            <w:pPr>
              <w:jc w:val="center"/>
            </w:pPr>
            <w:r>
              <w:rPr>
                <w:sz w:val="18"/>
              </w:rPr>
              <w:t>25,34,160.27</w:t>
            </w:r>
          </w:p>
        </w:tc>
        <w:tc>
          <w:tcPr>
            <w:tcW w:w="2436" w:type="dxa"/>
            <w:shd w:val="clear" w:color="auto" w:fill="EBF3FB"/>
          </w:tcPr>
          <w:p w14:paraId="00100146" w14:textId="00100147">
            <w:pPr>
              <w:jc w:val="center"/>
            </w:pPr>
            <w:r>
              <w:rPr>
                <w:sz w:val="18"/>
              </w:rPr>
              <w:t>1,384</w:t>
            </w:r>
          </w:p>
        </w:tc>
        <w:tc>
          <w:tcPr>
            <w:tcW w:w="2436" w:type="dxa"/>
            <w:shd w:val="clear" w:color="auto" w:fill="EBF3FB"/>
          </w:tcPr>
          <w:p w14:paraId="00100148" w14:textId="00100149">
            <w:pPr>
              <w:jc w:val="center"/>
            </w:pPr>
            <w:r>
              <w:rPr>
                <w:sz w:val="18"/>
              </w:rPr>
              <w:t>1,831.04</w:t>
            </w:r>
          </w:p>
        </w:tc>
      </w:tr>
      <w:tr>
        <w:tc>
          <w:tcPr>
            <w:tcW w:w="2436" w:type="dxa"/>
            <w:shd w:val="clear" w:color="auto" w:fill="FFFFFF"/>
          </w:tcPr>
          <w:p w14:paraId="0010014A" w14:textId="0010014B">
            <w:pPr>
              <w:jc w:val="center"/>
            </w:pPr>
            <w:r>
              <w:rPr>
                <w:sz w:val="18"/>
              </w:rPr>
              <w:t>Winter</w:t>
            </w:r>
          </w:p>
        </w:tc>
        <w:tc>
          <w:tcPr>
            <w:tcW w:w="2436" w:type="dxa"/>
            <w:shd w:val="clear" w:color="auto" w:fill="FFFFFF"/>
          </w:tcPr>
          <w:p w14:paraId="0010014C" w14:textId="0010014D">
            <w:pPr>
              <w:jc w:val="center"/>
            </w:pPr>
            <w:r>
              <w:rPr>
                <w:sz w:val="18"/>
              </w:rPr>
              <w:t>24,78,326.67</w:t>
            </w:r>
          </w:p>
        </w:tc>
        <w:tc>
          <w:tcPr>
            <w:tcW w:w="2436" w:type="dxa"/>
            <w:shd w:val="clear" w:color="auto" w:fill="FFFFFF"/>
          </w:tcPr>
          <w:p w14:paraId="0010014E" w14:textId="0010014F">
            <w:pPr>
              <w:jc w:val="center"/>
            </w:pPr>
            <w:r>
              <w:rPr>
                <w:sz w:val="18"/>
              </w:rPr>
              <w:t>1,362</w:t>
            </w:r>
          </w:p>
        </w:tc>
        <w:tc>
          <w:tcPr>
            <w:tcW w:w="2436" w:type="dxa"/>
            <w:shd w:val="clear" w:color="auto" w:fill="FFFFFF"/>
          </w:tcPr>
          <w:p w14:paraId="00100150" w14:textId="00100151">
            <w:pPr>
              <w:jc w:val="center"/>
            </w:pPr>
            <w:r>
              <w:rPr>
                <w:sz w:val="18"/>
              </w:rPr>
              <w:t>1,819.62</w:t>
            </w:r>
          </w:p>
        </w:tc>
      </w:tr>
    </w:tbl>
    <w:p w14:paraId="00100152" w14:textId="00100153">
      <w:pPr>
        <w:spacing w:after="160"/>
      </w:pPr>
    </w:p>
    <w:p w14:paraId="00100154" w14:textId="00100155">
      <w:pPr>
        <w:pBdr>
          <w:bottom w:val="single" w:color="2E74B5" w:sz="6" w:space="1"/>
        </w:pBdr>
        <w:spacing w:after="200"/>
      </w:pPr>
    </w:p>
    <w:p w14:paraId="00100156" w14:textId="00100157">
      <w:pPr>
        <w:pStyle w:val="Heading1"/>
        <w:spacing w:before="240" w:after="120"/>
      </w:pPr>
      <w:r>
        <w:rPr>
          <w:color w:val="1F497D"/>
          <w:sz w:val="28"/>
        </w:rPr>
        <w:t>11.  Revenue by Day of Week</w:t>
      </w:r>
    </w:p>
    <w:p w14:paraId="00100158" w14:textId="00100159"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223175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15_out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175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10015A" w14:textId="0010015B">
      <w:pPr>
        <w:spacing w:after="200"/>
        <w:jc w:val="center"/>
      </w:pPr>
      <w:r>
        <w:rPr>
          <w:i/>
          <w:color w:val="646464"/>
          <w:sz w:val="18"/>
        </w:rPr>
        <w:t>Figure 9 — Total Revenue and Transaction Volume by Day of Week</w:t>
      </w:r>
    </w:p>
    <w:p w14:paraId="0010015C" w14:textId="0010015D">
      <w:pPr>
        <w:spacing w:before="0" w:after="160"/>
        <w:jc w:val="left"/>
      </w:pPr>
      <w:r>
        <w:rPr>
          <w:b w:val="0"/>
          <w:i w:val="0"/>
          <w:sz w:val="20"/>
        </w:rPr>
        <w:t>Weekends (Saturday &amp; Sunday) generate higher transaction volumes and revenue. Flash sales and targeted campaigns scheduled on weekends drive maximum impact.</w:t>
      </w:r>
    </w:p>
    <w:p w14:paraId="0010015E" w14:textId="0010015F">
      <w:pPr>
        <w:pBdr>
          <w:bottom w:val="single" w:color="2E74B5" w:sz="6" w:space="1"/>
        </w:pBdr>
        <w:spacing w:after="200"/>
      </w:pPr>
    </w:p>
    <w:p w14:paraId="00100160" w14:textId="00100161">
      <w:pPr>
        <w:pStyle w:val="Heading1"/>
        <w:spacing w:before="240" w:after="120"/>
      </w:pPr>
      <w:r>
        <w:rPr>
          <w:color w:val="1F497D"/>
          <w:sz w:val="28"/>
        </w:rPr>
        <w:t>12.  Product Category Performance</w:t>
      </w:r>
    </w:p>
    <w:p w14:paraId="00100162" w14:textId="00100163"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218033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16_out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033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100164" w14:textId="00100165">
      <w:pPr>
        <w:spacing w:after="200"/>
        <w:jc w:val="center"/>
      </w:pPr>
      <w:r>
        <w:rPr>
          <w:i/>
          <w:color w:val="646464"/>
          <w:sz w:val="18"/>
        </w:rPr>
        <w:t>Figure 10 — Revenue and Conversion Rate by Product Category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w="1624" w:type="dxa"/>
            <w:shd w:val="clear" w:color="auto" w:fill="1F497D"/>
          </w:tcPr>
          <w:p w14:paraId="00100166" w14:textId="00100167"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1624" w:type="dxa"/>
            <w:shd w:val="clear" w:color="auto" w:fill="1F497D"/>
          </w:tcPr>
          <w:p w14:paraId="00100168" w14:textId="00100169">
            <w:pPr>
              <w:jc w:val="center"/>
            </w:pPr>
            <w:r>
              <w:rPr>
                <w:b/>
                <w:color w:val="FFFFFF"/>
                <w:sz w:val="18"/>
              </w:rPr>
              <w:t>Total Revenue (₹)</w:t>
            </w:r>
          </w:p>
        </w:tc>
        <w:tc>
          <w:tcPr>
            <w:tcW w:w="1624" w:type="dxa"/>
            <w:shd w:val="clear" w:color="auto" w:fill="1F497D"/>
          </w:tcPr>
          <w:p w14:paraId="0010016A" w14:textId="0010016B">
            <w:pPr>
              <w:jc w:val="center"/>
            </w:pPr>
            <w:r>
              <w:rPr>
                <w:b/>
                <w:color w:val="FFFFFF"/>
                <w:sz w:val="18"/>
              </w:rPr>
              <w:t>Sessions</w:t>
            </w:r>
          </w:p>
        </w:tc>
        <w:tc>
          <w:tcPr>
            <w:tcW w:w="1624" w:type="dxa"/>
            <w:shd w:val="clear" w:color="auto" w:fill="1F497D"/>
          </w:tcPr>
          <w:p w14:paraId="0010016C" w14:textId="0010016D">
            <w:pPr>
              <w:jc w:val="center"/>
            </w:pPr>
            <w:r>
              <w:rPr>
                <w:b/>
                <w:color w:val="FFFFFF"/>
                <w:sz w:val="18"/>
              </w:rPr>
              <w:t>Purchases</w:t>
            </w:r>
          </w:p>
        </w:tc>
        <w:tc>
          <w:tcPr>
            <w:tcW w:w="1624" w:type="dxa"/>
            <w:shd w:val="clear" w:color="auto" w:fill="1F497D"/>
          </w:tcPr>
          <w:p w14:paraId="0010016E" w14:textId="0010016F">
            <w:pPr>
              <w:jc w:val="center"/>
            </w:pPr>
            <w:r>
              <w:rPr>
                <w:b/>
                <w:color w:val="FFFFFF"/>
                <w:sz w:val="18"/>
              </w:rPr>
              <w:t>Conv. Rate (%)</w:t>
            </w:r>
          </w:p>
        </w:tc>
        <w:tc>
          <w:tcPr>
            <w:tcW w:w="1624" w:type="dxa"/>
            <w:shd w:val="clear" w:color="auto" w:fill="1F497D"/>
          </w:tcPr>
          <w:p w14:paraId="00100170" w14:textId="00100171">
            <w:pPr>
              <w:jc w:val="center"/>
            </w:pPr>
            <w:r>
              <w:rPr>
                <w:b/>
                <w:color w:val="FFFFFF"/>
                <w:sz w:val="18"/>
              </w:rPr>
              <w:t>Avg Unit Price (₹)</w:t>
            </w:r>
          </w:p>
        </w:tc>
      </w:tr>
      <w:tr>
        <w:tc>
          <w:tcPr>
            <w:tcW w:w="1624" w:type="dxa"/>
            <w:shd w:val="clear" w:color="auto" w:fill="EBF3FB"/>
          </w:tcPr>
          <w:p w14:paraId="00100172" w14:textId="00100173">
            <w:pPr>
              <w:jc w:val="center"/>
            </w:pPr>
            <w:r>
              <w:rPr>
                <w:sz w:val="18"/>
              </w:rPr>
              <w:t>Home &amp; Kitchen</w:t>
            </w:r>
          </w:p>
        </w:tc>
        <w:tc>
          <w:tcPr>
            <w:tcW w:w="1624" w:type="dxa"/>
            <w:shd w:val="clear" w:color="auto" w:fill="EBF3FB"/>
          </w:tcPr>
          <w:p w14:paraId="00100174" w14:textId="00100175">
            <w:pPr>
              <w:jc w:val="center"/>
            </w:pPr>
            <w:r>
              <w:rPr>
                <w:sz w:val="18"/>
              </w:rPr>
              <w:t>20,37,576.79</w:t>
            </w:r>
          </w:p>
        </w:tc>
        <w:tc>
          <w:tcPr>
            <w:tcW w:w="1624" w:type="dxa"/>
            <w:shd w:val="clear" w:color="auto" w:fill="EBF3FB"/>
          </w:tcPr>
          <w:p w14:paraId="00100176" w14:textId="00100177">
            <w:pPr>
              <w:jc w:val="center"/>
            </w:pPr>
            <w:r>
              <w:rPr>
                <w:sz w:val="18"/>
              </w:rPr>
              <w:t>3,237</w:t>
            </w:r>
          </w:p>
        </w:tc>
        <w:tc>
          <w:tcPr>
            <w:tcW w:w="1624" w:type="dxa"/>
            <w:shd w:val="clear" w:color="auto" w:fill="EBF3FB"/>
          </w:tcPr>
          <w:p w14:paraId="00100178" w14:textId="00100179">
            <w:pPr>
              <w:jc w:val="center"/>
            </w:pPr>
            <w:r>
              <w:rPr>
                <w:sz w:val="18"/>
              </w:rPr>
              <w:t>721</w:t>
            </w:r>
          </w:p>
        </w:tc>
        <w:tc>
          <w:tcPr>
            <w:tcW w:w="1624" w:type="dxa"/>
            <w:shd w:val="clear" w:color="auto" w:fill="EBF3FB"/>
          </w:tcPr>
          <w:p w14:paraId="0010017A" w14:textId="0010017B">
            <w:pPr>
              <w:jc w:val="center"/>
            </w:pPr>
            <w:r>
              <w:rPr>
                <w:sz w:val="18"/>
              </w:rPr>
              <w:t>22.27</w:t>
            </w:r>
          </w:p>
        </w:tc>
        <w:tc>
          <w:tcPr>
            <w:tcW w:w="1624" w:type="dxa"/>
            <w:shd w:val="clear" w:color="auto" w:fill="EBF3FB"/>
          </w:tcPr>
          <w:p w14:paraId="0010017C" w14:textId="0010017D">
            <w:pPr>
              <w:jc w:val="center"/>
            </w:pPr>
            <w:r>
              <w:rPr>
                <w:sz w:val="18"/>
              </w:rPr>
              <w:t>1,238.58</w:t>
            </w:r>
          </w:p>
        </w:tc>
      </w:tr>
      <w:tr>
        <w:tc>
          <w:tcPr>
            <w:tcW w:w="1624" w:type="dxa"/>
            <w:shd w:val="clear" w:color="auto" w:fill="FFFFFF"/>
          </w:tcPr>
          <w:p w14:paraId="0010017E" w14:textId="0010017F">
            <w:pPr>
              <w:jc w:val="center"/>
            </w:pPr>
            <w:r>
              <w:rPr>
                <w:sz w:val="18"/>
              </w:rPr>
              <w:t>Toys</w:t>
            </w:r>
          </w:p>
        </w:tc>
        <w:tc>
          <w:tcPr>
            <w:tcW w:w="1624" w:type="dxa"/>
            <w:shd w:val="clear" w:color="auto" w:fill="FFFFFF"/>
          </w:tcPr>
          <w:p w14:paraId="00100180" w14:textId="00100181">
            <w:pPr>
              <w:jc w:val="center"/>
            </w:pPr>
            <w:r>
              <w:rPr>
                <w:sz w:val="18"/>
              </w:rPr>
              <w:t>19,30,885.22</w:t>
            </w:r>
          </w:p>
        </w:tc>
        <w:tc>
          <w:tcPr>
            <w:tcW w:w="1624" w:type="dxa"/>
            <w:shd w:val="clear" w:color="auto" w:fill="FFFFFF"/>
          </w:tcPr>
          <w:p w14:paraId="00100182" w14:textId="00100183">
            <w:pPr>
              <w:jc w:val="center"/>
            </w:pPr>
            <w:r>
              <w:rPr>
                <w:sz w:val="18"/>
              </w:rPr>
              <w:t>3,112</w:t>
            </w:r>
          </w:p>
        </w:tc>
        <w:tc>
          <w:tcPr>
            <w:tcW w:w="1624" w:type="dxa"/>
            <w:shd w:val="clear" w:color="auto" w:fill="FFFFFF"/>
          </w:tcPr>
          <w:p w14:paraId="00100184" w14:textId="00100185">
            <w:pPr>
              <w:jc w:val="center"/>
            </w:pPr>
            <w:r>
              <w:rPr>
                <w:sz w:val="18"/>
              </w:rPr>
              <w:t>768</w:t>
            </w:r>
          </w:p>
        </w:tc>
        <w:tc>
          <w:tcPr>
            <w:tcW w:w="1624" w:type="dxa"/>
            <w:shd w:val="clear" w:color="auto" w:fill="FFFFFF"/>
          </w:tcPr>
          <w:p w14:paraId="00100186" w14:textId="00100187">
            <w:pPr>
              <w:jc w:val="center"/>
            </w:pPr>
            <w:r>
              <w:rPr>
                <w:sz w:val="18"/>
              </w:rPr>
              <w:t>24.68</w:t>
            </w:r>
          </w:p>
        </w:tc>
        <w:tc>
          <w:tcPr>
            <w:tcW w:w="1624" w:type="dxa"/>
            <w:shd w:val="clear" w:color="auto" w:fill="FFFFFF"/>
          </w:tcPr>
          <w:p w14:paraId="00100188" w14:textId="00100189">
            <w:pPr>
              <w:jc w:val="center"/>
            </w:pPr>
            <w:r>
              <w:rPr>
                <w:sz w:val="18"/>
              </w:rPr>
              <w:t>1,131.58</w:t>
            </w:r>
          </w:p>
        </w:tc>
      </w:tr>
      <w:tr>
        <w:tc>
          <w:tcPr>
            <w:tcW w:w="1624" w:type="dxa"/>
            <w:shd w:val="clear" w:color="auto" w:fill="EBF3FB"/>
          </w:tcPr>
          <w:p w14:paraId="0010018A" w14:textId="0010018B">
            <w:pPr>
              <w:jc w:val="center"/>
            </w:pPr>
            <w:r>
              <w:rPr>
                <w:sz w:val="18"/>
              </w:rPr>
              <w:t>Beauty</w:t>
            </w:r>
          </w:p>
        </w:tc>
        <w:tc>
          <w:tcPr>
            <w:tcW w:w="1624" w:type="dxa"/>
            <w:shd w:val="clear" w:color="auto" w:fill="EBF3FB"/>
          </w:tcPr>
          <w:p w14:paraId="0010018C" w14:textId="0010018D">
            <w:pPr>
              <w:jc w:val="center"/>
            </w:pPr>
            <w:r>
              <w:rPr>
                <w:sz w:val="18"/>
              </w:rPr>
              <w:t>17,29,167.16</w:t>
            </w:r>
          </w:p>
        </w:tc>
        <w:tc>
          <w:tcPr>
            <w:tcW w:w="1624" w:type="dxa"/>
            <w:shd w:val="clear" w:color="auto" w:fill="EBF3FB"/>
          </w:tcPr>
          <w:p w14:paraId="0010018E" w14:textId="0010018F">
            <w:pPr>
              <w:jc w:val="center"/>
            </w:pPr>
            <w:r>
              <w:rPr>
                <w:sz w:val="18"/>
              </w:rPr>
              <w:t>3,149</w:t>
            </w:r>
          </w:p>
        </w:tc>
        <w:tc>
          <w:tcPr>
            <w:tcW w:w="1624" w:type="dxa"/>
            <w:shd w:val="clear" w:color="auto" w:fill="EBF3FB"/>
          </w:tcPr>
          <w:p w14:paraId="00100190" w14:textId="00100191">
            <w:pPr>
              <w:jc w:val="center"/>
            </w:pPr>
            <w:r>
              <w:rPr>
                <w:sz w:val="18"/>
              </w:rPr>
              <w:t>728</w:t>
            </w:r>
          </w:p>
        </w:tc>
        <w:tc>
          <w:tcPr>
            <w:tcW w:w="1624" w:type="dxa"/>
            <w:shd w:val="clear" w:color="auto" w:fill="EBF3FB"/>
          </w:tcPr>
          <w:p w14:paraId="00100192" w14:textId="00100193">
            <w:pPr>
              <w:jc w:val="center"/>
            </w:pPr>
            <w:r>
              <w:rPr>
                <w:sz w:val="18"/>
              </w:rPr>
              <w:t>23.12</w:t>
            </w:r>
          </w:p>
        </w:tc>
        <w:tc>
          <w:tcPr>
            <w:tcW w:w="1624" w:type="dxa"/>
            <w:shd w:val="clear" w:color="auto" w:fill="EBF3FB"/>
          </w:tcPr>
          <w:p w14:paraId="00100194" w14:textId="00100195">
            <w:pPr>
              <w:jc w:val="center"/>
            </w:pPr>
            <w:r>
              <w:rPr>
                <w:sz w:val="18"/>
              </w:rPr>
              <w:t>997.96</w:t>
            </w:r>
          </w:p>
        </w:tc>
      </w:tr>
      <w:tr>
        <w:tc>
          <w:tcPr>
            <w:tcW w:w="1624" w:type="dxa"/>
            <w:shd w:val="clear" w:color="auto" w:fill="FFFFFF"/>
          </w:tcPr>
          <w:p w14:paraId="00100196" w14:textId="00100197">
            <w:pPr>
              <w:jc w:val="center"/>
            </w:pPr>
            <w:r>
              <w:rPr>
                <w:sz w:val="18"/>
              </w:rPr>
              <w:t>Sports</w:t>
            </w:r>
          </w:p>
        </w:tc>
        <w:tc>
          <w:tcPr>
            <w:tcW w:w="1624" w:type="dxa"/>
            <w:shd w:val="clear" w:color="auto" w:fill="FFFFFF"/>
          </w:tcPr>
          <w:p w14:paraId="00100198" w14:textId="00100199">
            <w:pPr>
              <w:jc w:val="center"/>
            </w:pPr>
            <w:r>
              <w:rPr>
                <w:sz w:val="18"/>
              </w:rPr>
              <w:t>12,93,649.90</w:t>
            </w:r>
          </w:p>
        </w:tc>
        <w:tc>
          <w:tcPr>
            <w:tcW w:w="1624" w:type="dxa"/>
            <w:shd w:val="clear" w:color="auto" w:fill="FFFFFF"/>
          </w:tcPr>
          <w:p w14:paraId="0010019A" w14:textId="0010019B">
            <w:pPr>
              <w:jc w:val="center"/>
            </w:pPr>
            <w:r>
              <w:rPr>
                <w:sz w:val="18"/>
              </w:rPr>
              <w:t>3,040</w:t>
            </w:r>
          </w:p>
        </w:tc>
        <w:tc>
          <w:tcPr>
            <w:tcW w:w="1624" w:type="dxa"/>
            <w:shd w:val="clear" w:color="auto" w:fill="FFFFFF"/>
          </w:tcPr>
          <w:p w14:paraId="0010019C" w14:textId="0010019D">
            <w:pPr>
              <w:jc w:val="center"/>
            </w:pPr>
            <w:r>
              <w:rPr>
                <w:sz w:val="18"/>
              </w:rPr>
              <w:t>631</w:t>
            </w:r>
          </w:p>
        </w:tc>
        <w:tc>
          <w:tcPr>
            <w:tcW w:w="1624" w:type="dxa"/>
            <w:shd w:val="clear" w:color="auto" w:fill="FFFFFF"/>
          </w:tcPr>
          <w:p w14:paraId="0010019E" w14:textId="0010019F">
            <w:pPr>
              <w:jc w:val="center"/>
            </w:pPr>
            <w:r>
              <w:rPr>
                <w:sz w:val="18"/>
              </w:rPr>
              <w:t>20.76</w:t>
            </w:r>
          </w:p>
        </w:tc>
        <w:tc>
          <w:tcPr>
            <w:tcW w:w="1624" w:type="dxa"/>
            <w:shd w:val="clear" w:color="auto" w:fill="FFFFFF"/>
          </w:tcPr>
          <w:p w14:paraId="001001A0" w14:textId="001001A1">
            <w:pPr>
              <w:jc w:val="center"/>
            </w:pPr>
            <w:r>
              <w:rPr>
                <w:sz w:val="18"/>
              </w:rPr>
              <w:t>898.41</w:t>
            </w:r>
          </w:p>
        </w:tc>
      </w:tr>
      <w:tr>
        <w:tc>
          <w:tcPr>
            <w:tcW w:w="1624" w:type="dxa"/>
            <w:shd w:val="clear" w:color="auto" w:fill="EBF3FB"/>
          </w:tcPr>
          <w:p w14:paraId="001001A2" w14:textId="001001A3">
            <w:pPr>
              <w:jc w:val="center"/>
            </w:pPr>
            <w:r>
              <w:rPr>
                <w:sz w:val="18"/>
              </w:rPr>
              <w:t>Grocery</w:t>
            </w:r>
          </w:p>
        </w:tc>
        <w:tc>
          <w:tcPr>
            <w:tcW w:w="1624" w:type="dxa"/>
            <w:shd w:val="clear" w:color="auto" w:fill="EBF3FB"/>
          </w:tcPr>
          <w:p w14:paraId="001001A4" w14:textId="001001A5">
            <w:pPr>
              <w:jc w:val="center"/>
            </w:pPr>
            <w:r>
              <w:rPr>
                <w:sz w:val="18"/>
              </w:rPr>
              <w:t>10,89,617.52</w:t>
            </w:r>
          </w:p>
        </w:tc>
        <w:tc>
          <w:tcPr>
            <w:tcW w:w="1624" w:type="dxa"/>
            <w:shd w:val="clear" w:color="auto" w:fill="EBF3FB"/>
          </w:tcPr>
          <w:p w14:paraId="001001A6" w14:textId="001001A7">
            <w:pPr>
              <w:jc w:val="center"/>
            </w:pPr>
            <w:r>
              <w:rPr>
                <w:sz w:val="18"/>
              </w:rPr>
              <w:t>3,073</w:t>
            </w:r>
          </w:p>
        </w:tc>
        <w:tc>
          <w:tcPr>
            <w:tcW w:w="1624" w:type="dxa"/>
            <w:shd w:val="clear" w:color="auto" w:fill="EBF3FB"/>
          </w:tcPr>
          <w:p w14:paraId="001001A8" w14:textId="001001A9">
            <w:pPr>
              <w:jc w:val="center"/>
            </w:pPr>
            <w:r>
              <w:rPr>
                <w:sz w:val="18"/>
              </w:rPr>
              <w:t>694</w:t>
            </w:r>
          </w:p>
        </w:tc>
        <w:tc>
          <w:tcPr>
            <w:tcW w:w="1624" w:type="dxa"/>
            <w:shd w:val="clear" w:color="auto" w:fill="EBF3FB"/>
          </w:tcPr>
          <w:p w14:paraId="001001AA" w14:textId="001001AB">
            <w:pPr>
              <w:jc w:val="center"/>
            </w:pPr>
            <w:r>
              <w:rPr>
                <w:sz w:val="18"/>
              </w:rPr>
              <w:t>22.58</w:t>
            </w:r>
          </w:p>
        </w:tc>
        <w:tc>
          <w:tcPr>
            <w:tcW w:w="1624" w:type="dxa"/>
            <w:shd w:val="clear" w:color="auto" w:fill="EBF3FB"/>
          </w:tcPr>
          <w:p w14:paraId="001001AC" w14:textId="001001AD">
            <w:pPr>
              <w:jc w:val="center"/>
            </w:pPr>
            <w:r>
              <w:rPr>
                <w:sz w:val="18"/>
              </w:rPr>
              <w:t>671.48</w:t>
            </w:r>
          </w:p>
        </w:tc>
      </w:tr>
      <w:tr>
        <w:tc>
          <w:tcPr>
            <w:tcW w:w="1624" w:type="dxa"/>
            <w:shd w:val="clear" w:color="auto" w:fill="FFFFFF"/>
          </w:tcPr>
          <w:p w14:paraId="001001AE" w14:textId="001001AF">
            <w:pPr>
              <w:jc w:val="center"/>
            </w:pPr>
            <w:r>
              <w:rPr>
                <w:sz w:val="18"/>
              </w:rPr>
              <w:t>Electronics</w:t>
            </w:r>
          </w:p>
        </w:tc>
        <w:tc>
          <w:tcPr>
            <w:tcW w:w="1624" w:type="dxa"/>
            <w:shd w:val="clear" w:color="auto" w:fill="FFFFFF"/>
          </w:tcPr>
          <w:p w14:paraId="001001B0" w14:textId="001001B1">
            <w:pPr>
              <w:jc w:val="center"/>
            </w:pPr>
            <w:r>
              <w:rPr>
                <w:sz w:val="18"/>
              </w:rPr>
              <w:t>8,80,077.03</w:t>
            </w:r>
          </w:p>
        </w:tc>
        <w:tc>
          <w:tcPr>
            <w:tcW w:w="1624" w:type="dxa"/>
            <w:shd w:val="clear" w:color="auto" w:fill="FFFFFF"/>
          </w:tcPr>
          <w:p w14:paraId="001001B2" w14:textId="001001B3">
            <w:pPr>
              <w:jc w:val="center"/>
            </w:pPr>
            <w:r>
              <w:rPr>
                <w:sz w:val="18"/>
              </w:rPr>
              <w:t>3,142</w:t>
            </w:r>
          </w:p>
        </w:tc>
        <w:tc>
          <w:tcPr>
            <w:tcW w:w="1624" w:type="dxa"/>
            <w:shd w:val="clear" w:color="auto" w:fill="FFFFFF"/>
          </w:tcPr>
          <w:p w14:paraId="001001B4" w14:textId="001001B5">
            <w:pPr>
              <w:jc w:val="center"/>
            </w:pPr>
            <w:r>
              <w:rPr>
                <w:sz w:val="18"/>
              </w:rPr>
              <w:t>700</w:t>
            </w:r>
          </w:p>
        </w:tc>
        <w:tc>
          <w:tcPr>
            <w:tcW w:w="1624" w:type="dxa"/>
            <w:shd w:val="clear" w:color="auto" w:fill="FFFFFF"/>
          </w:tcPr>
          <w:p w14:paraId="001001B6" w14:textId="001001B7">
            <w:pPr>
              <w:jc w:val="center"/>
            </w:pPr>
            <w:r>
              <w:rPr>
                <w:sz w:val="18"/>
              </w:rPr>
              <w:t>22.28</w:t>
            </w:r>
          </w:p>
        </w:tc>
        <w:tc>
          <w:tcPr>
            <w:tcW w:w="1624" w:type="dxa"/>
            <w:shd w:val="clear" w:color="auto" w:fill="FFFFFF"/>
          </w:tcPr>
          <w:p w14:paraId="001001B8" w14:textId="001001B9">
            <w:pPr>
              <w:jc w:val="center"/>
            </w:pPr>
            <w:r>
              <w:rPr>
                <w:sz w:val="18"/>
              </w:rPr>
              <w:t>579.68</w:t>
            </w:r>
          </w:p>
        </w:tc>
      </w:tr>
      <w:tr>
        <w:tc>
          <w:tcPr>
            <w:tcW w:w="1624" w:type="dxa"/>
            <w:shd w:val="clear" w:color="auto" w:fill="EBF3FB"/>
          </w:tcPr>
          <w:p w14:paraId="001001BA" w14:textId="001001BB">
            <w:pPr>
              <w:jc w:val="center"/>
            </w:pPr>
            <w:r>
              <w:rPr>
                <w:sz w:val="18"/>
              </w:rPr>
              <w:t>Fashion</w:t>
            </w:r>
          </w:p>
        </w:tc>
        <w:tc>
          <w:tcPr>
            <w:tcW w:w="1624" w:type="dxa"/>
            <w:shd w:val="clear" w:color="auto" w:fill="EBF3FB"/>
          </w:tcPr>
          <w:p w14:paraId="001001BC" w14:textId="001001BD">
            <w:pPr>
              <w:jc w:val="center"/>
            </w:pPr>
            <w:r>
              <w:rPr>
                <w:sz w:val="18"/>
              </w:rPr>
              <w:t>7,02,788.87</w:t>
            </w:r>
          </w:p>
        </w:tc>
        <w:tc>
          <w:tcPr>
            <w:tcW w:w="1624" w:type="dxa"/>
            <w:shd w:val="clear" w:color="auto" w:fill="EBF3FB"/>
          </w:tcPr>
          <w:p w14:paraId="001001BE" w14:textId="001001BF">
            <w:pPr>
              <w:jc w:val="center"/>
            </w:pPr>
            <w:r>
              <w:rPr>
                <w:sz w:val="18"/>
              </w:rPr>
              <w:t>3,043</w:t>
            </w:r>
          </w:p>
        </w:tc>
        <w:tc>
          <w:tcPr>
            <w:tcW w:w="1624" w:type="dxa"/>
            <w:shd w:val="clear" w:color="auto" w:fill="EBF3FB"/>
          </w:tcPr>
          <w:p w14:paraId="001001C0" w14:textId="001001C1">
            <w:pPr>
              <w:jc w:val="center"/>
            </w:pPr>
            <w:r>
              <w:rPr>
                <w:sz w:val="18"/>
              </w:rPr>
              <w:t>647</w:t>
            </w:r>
          </w:p>
        </w:tc>
        <w:tc>
          <w:tcPr>
            <w:tcW w:w="1624" w:type="dxa"/>
            <w:shd w:val="clear" w:color="auto" w:fill="EBF3FB"/>
          </w:tcPr>
          <w:p w14:paraId="001001C2" w14:textId="001001C3">
            <w:pPr>
              <w:jc w:val="center"/>
            </w:pPr>
            <w:r>
              <w:rPr>
                <w:sz w:val="18"/>
              </w:rPr>
              <w:t>21.26</w:t>
            </w:r>
          </w:p>
        </w:tc>
        <w:tc>
          <w:tcPr>
            <w:tcW w:w="1624" w:type="dxa"/>
            <w:shd w:val="clear" w:color="auto" w:fill="EBF3FB"/>
          </w:tcPr>
          <w:p w14:paraId="001001C4" w14:textId="001001C5">
            <w:pPr>
              <w:jc w:val="center"/>
            </w:pPr>
            <w:r>
              <w:rPr>
                <w:sz w:val="18"/>
              </w:rPr>
              <w:t>455.72</w:t>
            </w:r>
          </w:p>
        </w:tc>
      </w:tr>
      <w:tr>
        <w:tc>
          <w:tcPr>
            <w:tcW w:w="1624" w:type="dxa"/>
            <w:shd w:val="clear" w:color="auto" w:fill="FFFFFF"/>
          </w:tcPr>
          <w:p w14:paraId="001001C6" w14:textId="001001C7">
            <w:pPr>
              <w:jc w:val="center"/>
            </w:pPr>
            <w:r>
              <w:rPr>
                <w:sz w:val="18"/>
              </w:rPr>
              <w:t>Books</w:t>
            </w:r>
          </w:p>
        </w:tc>
        <w:tc>
          <w:tcPr>
            <w:tcW w:w="1624" w:type="dxa"/>
            <w:shd w:val="clear" w:color="auto" w:fill="FFFFFF"/>
          </w:tcPr>
          <w:p w14:paraId="001001C8" w14:textId="001001C9">
            <w:pPr>
              <w:jc w:val="center"/>
            </w:pPr>
            <w:r>
              <w:rPr>
                <w:sz w:val="18"/>
              </w:rPr>
              <w:t>4,52,406.57</w:t>
            </w:r>
          </w:p>
        </w:tc>
        <w:tc>
          <w:tcPr>
            <w:tcW w:w="1624" w:type="dxa"/>
            <w:shd w:val="clear" w:color="auto" w:fill="FFFFFF"/>
          </w:tcPr>
          <w:p w14:paraId="001001CA" w14:textId="001001CB">
            <w:pPr>
              <w:jc w:val="center"/>
            </w:pPr>
            <w:r>
              <w:rPr>
                <w:sz w:val="18"/>
              </w:rPr>
              <w:t>3,204</w:t>
            </w:r>
          </w:p>
        </w:tc>
        <w:tc>
          <w:tcPr>
            <w:tcW w:w="1624" w:type="dxa"/>
            <w:shd w:val="clear" w:color="auto" w:fill="FFFFFF"/>
          </w:tcPr>
          <w:p w14:paraId="001001CC" w14:textId="001001CD">
            <w:pPr>
              <w:jc w:val="center"/>
            </w:pPr>
            <w:r>
              <w:rPr>
                <w:sz w:val="18"/>
              </w:rPr>
              <w:t>727</w:t>
            </w:r>
          </w:p>
        </w:tc>
        <w:tc>
          <w:tcPr>
            <w:tcW w:w="1624" w:type="dxa"/>
            <w:shd w:val="clear" w:color="auto" w:fill="FFFFFF"/>
          </w:tcPr>
          <w:p w14:paraId="001001CE" w14:textId="001001CF">
            <w:pPr>
              <w:jc w:val="center"/>
            </w:pPr>
            <w:r>
              <w:rPr>
                <w:sz w:val="18"/>
              </w:rPr>
              <w:t>22.69</w:t>
            </w:r>
          </w:p>
        </w:tc>
        <w:tc>
          <w:tcPr>
            <w:tcW w:w="1624" w:type="dxa"/>
            <w:shd w:val="clear" w:color="auto" w:fill="FFFFFF"/>
          </w:tcPr>
          <w:p w14:paraId="001001D0" w14:textId="001001D1">
            <w:pPr>
              <w:jc w:val="center"/>
            </w:pPr>
            <w:r>
              <w:rPr>
                <w:sz w:val="18"/>
              </w:rPr>
              <w:t>275.25</w:t>
            </w:r>
          </w:p>
        </w:tc>
      </w:tr>
    </w:tbl>
    <w:p w14:paraId="001001D2" w14:textId="001001D3">
      <w:pPr>
        <w:spacing w:after="160"/>
      </w:pPr>
    </w:p>
    <w:p w14:paraId="001001D4" w14:textId="001001D5">
      <w:pPr>
        <w:spacing w:before="0" w:after="160"/>
        <w:jc w:val="left"/>
      </w:pPr>
      <w:r>
        <w:rPr>
          <w:b w:val="0"/>
          <w:i w:val="0"/>
          <w:sz w:val="20"/>
        </w:rPr>
        <w:t>Home &amp; Kitchen leads in revenue. Toys has the highest conversion rate (24.68%). Books has the lowest AOV but highest session volume.</w:t>
      </w:r>
    </w:p>
    <w:p w14:paraId="001001D6" w14:textId="001001D7">
      <w:pPr>
        <w:pBdr>
          <w:bottom w:val="single" w:color="2E74B5" w:sz="6" w:space="1"/>
        </w:pBdr>
        <w:spacing w:after="200"/>
      </w:pPr>
    </w:p>
    <w:p w14:paraId="001001D8" w14:textId="001001D9">
      <w:pPr>
        <w:pStyle w:val="Heading1"/>
        <w:spacing w:before="240" w:after="120"/>
      </w:pPr>
      <w:r>
        <w:rPr>
          <w:color w:val="1F497D"/>
          <w:sz w:val="28"/>
        </w:rPr>
        <w:t>13.  Marketing Channel Analysis</w:t>
      </w:r>
    </w:p>
    <w:p w14:paraId="001001DA" w14:textId="001001DB"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42190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18_out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1906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1001DC" w14:textId="001001DD">
      <w:pPr>
        <w:spacing w:after="200"/>
        <w:jc w:val="center"/>
      </w:pPr>
      <w:r>
        <w:rPr>
          <w:i/>
          <w:color w:val="646464"/>
          <w:sz w:val="18"/>
        </w:rPr>
        <w:t>Figure 11 — Sessions, Revenue, Conversion Rate and Cart Abandon Rate by Marketing Channel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w="1624" w:type="dxa"/>
            <w:shd w:val="clear" w:color="auto" w:fill="1F497D"/>
          </w:tcPr>
          <w:p w14:paraId="001001DE" w14:textId="001001DF">
            <w:pPr>
              <w:jc w:val="center"/>
            </w:pPr>
            <w:r>
              <w:rPr>
                <w:b/>
                <w:color w:val="FFFFFF"/>
                <w:sz w:val="18"/>
              </w:rPr>
              <w:t>Channel</w:t>
            </w:r>
          </w:p>
        </w:tc>
        <w:tc>
          <w:tcPr>
            <w:tcW w:w="1624" w:type="dxa"/>
            <w:shd w:val="clear" w:color="auto" w:fill="1F497D"/>
          </w:tcPr>
          <w:p w14:paraId="001001E0" w14:textId="001001E1">
            <w:pPr>
              <w:jc w:val="center"/>
            </w:pPr>
            <w:r>
              <w:rPr>
                <w:b/>
                <w:color w:val="FFFFFF"/>
                <w:sz w:val="18"/>
              </w:rPr>
              <w:t>Sessions</w:t>
            </w:r>
          </w:p>
        </w:tc>
        <w:tc>
          <w:tcPr>
            <w:tcW w:w="1624" w:type="dxa"/>
            <w:shd w:val="clear" w:color="auto" w:fill="1F497D"/>
          </w:tcPr>
          <w:p w14:paraId="001001E2" w14:textId="001001E3">
            <w:pPr>
              <w:jc w:val="center"/>
            </w:pPr>
            <w:r>
              <w:rPr>
                <w:b/>
                <w:color w:val="FFFFFF"/>
                <w:sz w:val="18"/>
              </w:rPr>
              <w:t>Purchases</w:t>
            </w:r>
          </w:p>
        </w:tc>
        <w:tc>
          <w:tcPr>
            <w:tcW w:w="1624" w:type="dxa"/>
            <w:shd w:val="clear" w:color="auto" w:fill="1F497D"/>
          </w:tcPr>
          <w:p w14:paraId="001001E4" w14:textId="001001E5">
            <w:pPr>
              <w:jc w:val="center"/>
            </w:pPr>
            <w:r>
              <w:rPr>
                <w:b/>
                <w:color w:val="FFFFFF"/>
                <w:sz w:val="18"/>
              </w:rPr>
              <w:t>Conv. Rate (%)</w:t>
            </w:r>
          </w:p>
        </w:tc>
        <w:tc>
          <w:tcPr>
            <w:tcW w:w="1624" w:type="dxa"/>
            <w:shd w:val="clear" w:color="auto" w:fill="1F497D"/>
          </w:tcPr>
          <w:p w14:paraId="001001E6" w14:textId="001001E7">
            <w:pPr>
              <w:jc w:val="center"/>
            </w:pPr>
            <w:r>
              <w:rPr>
                <w:b/>
                <w:color w:val="FFFFFF"/>
                <w:sz w:val="18"/>
              </w:rPr>
              <w:t>Total Revenue (₹)</w:t>
            </w:r>
          </w:p>
        </w:tc>
        <w:tc>
          <w:tcPr>
            <w:tcW w:w="1624" w:type="dxa"/>
            <w:shd w:val="clear" w:color="auto" w:fill="1F497D"/>
          </w:tcPr>
          <w:p w14:paraId="001001E8" w14:textId="001001E9">
            <w:pPr>
              <w:jc w:val="center"/>
            </w:pPr>
            <w:r>
              <w:rPr>
                <w:b/>
                <w:color w:val="FFFFFF"/>
                <w:sz w:val="18"/>
              </w:rPr>
              <w:t>Cart Abandon (%)</w:t>
            </w:r>
          </w:p>
        </w:tc>
      </w:tr>
      <w:tr>
        <w:tc>
          <w:tcPr>
            <w:tcW w:w="1624" w:type="dxa"/>
            <w:shd w:val="clear" w:color="auto" w:fill="EBF3FB"/>
          </w:tcPr>
          <w:p w14:paraId="001001EA" w14:textId="001001EB">
            <w:pPr>
              <w:jc w:val="center"/>
            </w:pPr>
            <w:r>
              <w:rPr>
                <w:sz w:val="18"/>
              </w:rPr>
              <w:t>Direct</w:t>
            </w:r>
          </w:p>
        </w:tc>
        <w:tc>
          <w:tcPr>
            <w:tcW w:w="1624" w:type="dxa"/>
            <w:shd w:val="clear" w:color="auto" w:fill="EBF3FB"/>
          </w:tcPr>
          <w:p w14:paraId="001001EC" w14:textId="001001ED">
            <w:pPr>
              <w:jc w:val="center"/>
            </w:pPr>
            <w:r>
              <w:rPr>
                <w:sz w:val="18"/>
              </w:rPr>
              <w:t>4,263</w:t>
            </w:r>
          </w:p>
        </w:tc>
        <w:tc>
          <w:tcPr>
            <w:tcW w:w="1624" w:type="dxa"/>
            <w:shd w:val="clear" w:color="auto" w:fill="EBF3FB"/>
          </w:tcPr>
          <w:p w14:paraId="001001EE" w14:textId="001001EF">
            <w:pPr>
              <w:jc w:val="center"/>
            </w:pPr>
            <w:r>
              <w:rPr>
                <w:sz w:val="18"/>
              </w:rPr>
              <w:t>1,006</w:t>
            </w:r>
          </w:p>
        </w:tc>
        <w:tc>
          <w:tcPr>
            <w:tcW w:w="1624" w:type="dxa"/>
            <w:shd w:val="clear" w:color="auto" w:fill="EBF3FB"/>
          </w:tcPr>
          <w:p w14:paraId="001001F0" w14:textId="001001F1">
            <w:pPr>
              <w:jc w:val="center"/>
            </w:pPr>
            <w:r>
              <w:rPr>
                <w:sz w:val="18"/>
              </w:rPr>
              <w:t>23.60</w:t>
            </w:r>
          </w:p>
        </w:tc>
        <w:tc>
          <w:tcPr>
            <w:tcW w:w="1624" w:type="dxa"/>
            <w:shd w:val="clear" w:color="auto" w:fill="EBF3FB"/>
          </w:tcPr>
          <w:p w14:paraId="001001F2" w14:textId="001001F3">
            <w:pPr>
              <w:jc w:val="center"/>
            </w:pPr>
            <w:r>
              <w:rPr>
                <w:sz w:val="18"/>
              </w:rPr>
              <w:t>18,20,823.79</w:t>
            </w:r>
          </w:p>
        </w:tc>
        <w:tc>
          <w:tcPr>
            <w:tcW w:w="1624" w:type="dxa"/>
            <w:shd w:val="clear" w:color="auto" w:fill="EBF3FB"/>
          </w:tcPr>
          <w:p w14:paraId="001001F4" w14:textId="001001F5">
            <w:pPr>
              <w:jc w:val="center"/>
            </w:pPr>
            <w:r>
              <w:rPr>
                <w:sz w:val="18"/>
              </w:rPr>
              <w:t>40.75</w:t>
            </w:r>
          </w:p>
        </w:tc>
      </w:tr>
      <w:tr>
        <w:tc>
          <w:tcPr>
            <w:tcW w:w="1624" w:type="dxa"/>
            <w:shd w:val="clear" w:color="auto" w:fill="FFFFFF"/>
          </w:tcPr>
          <w:p w14:paraId="001001F6" w14:textId="001001F7">
            <w:pPr>
              <w:jc w:val="center"/>
            </w:pPr>
            <w:r>
              <w:rPr>
                <w:sz w:val="18"/>
              </w:rPr>
              <w:t>Social Media</w:t>
            </w:r>
          </w:p>
        </w:tc>
        <w:tc>
          <w:tcPr>
            <w:tcW w:w="1624" w:type="dxa"/>
            <w:shd w:val="clear" w:color="auto" w:fill="FFFFFF"/>
          </w:tcPr>
          <w:p w14:paraId="001001F8" w14:textId="001001F9">
            <w:pPr>
              <w:jc w:val="center"/>
            </w:pPr>
            <w:r>
              <w:rPr>
                <w:sz w:val="18"/>
              </w:rPr>
              <w:t>4,281</w:t>
            </w:r>
          </w:p>
        </w:tc>
        <w:tc>
          <w:tcPr>
            <w:tcW w:w="1624" w:type="dxa"/>
            <w:shd w:val="clear" w:color="auto" w:fill="FFFFFF"/>
          </w:tcPr>
          <w:p w14:paraId="001001FA" w14:textId="001001FB">
            <w:pPr>
              <w:jc w:val="center"/>
            </w:pPr>
            <w:r>
              <w:rPr>
                <w:sz w:val="18"/>
              </w:rPr>
              <w:t>943</w:t>
            </w:r>
          </w:p>
        </w:tc>
        <w:tc>
          <w:tcPr>
            <w:tcW w:w="1624" w:type="dxa"/>
            <w:shd w:val="clear" w:color="auto" w:fill="FFFFFF"/>
          </w:tcPr>
          <w:p w14:paraId="001001FC" w14:textId="001001FD">
            <w:pPr>
              <w:jc w:val="center"/>
            </w:pPr>
            <w:r>
              <w:rPr>
                <w:sz w:val="18"/>
              </w:rPr>
              <w:t>22.03</w:t>
            </w:r>
          </w:p>
        </w:tc>
        <w:tc>
          <w:tcPr>
            <w:tcW w:w="1624" w:type="dxa"/>
            <w:shd w:val="clear" w:color="auto" w:fill="FFFFFF"/>
          </w:tcPr>
          <w:p w14:paraId="001001FE" w14:textId="001001FF">
            <w:pPr>
              <w:jc w:val="center"/>
            </w:pPr>
            <w:r>
              <w:rPr>
                <w:sz w:val="18"/>
              </w:rPr>
              <w:t>17,11,962.69</w:t>
            </w:r>
          </w:p>
        </w:tc>
        <w:tc>
          <w:tcPr>
            <w:tcW w:w="1624" w:type="dxa"/>
            <w:shd w:val="clear" w:color="auto" w:fill="FFFFFF"/>
          </w:tcPr>
          <w:p w14:paraId="00100200" w14:textId="00100201">
            <w:pPr>
              <w:jc w:val="center"/>
            </w:pPr>
            <w:r>
              <w:rPr>
                <w:sz w:val="18"/>
              </w:rPr>
              <w:t>42.61</w:t>
            </w:r>
          </w:p>
        </w:tc>
      </w:tr>
      <w:tr>
        <w:tc>
          <w:tcPr>
            <w:tcW w:w="1624" w:type="dxa"/>
            <w:shd w:val="clear" w:color="auto" w:fill="EBF3FB"/>
          </w:tcPr>
          <w:p w14:paraId="00100202" w14:textId="00100203">
            <w:pPr>
              <w:jc w:val="center"/>
            </w:pPr>
            <w:r>
              <w:rPr>
                <w:sz w:val="18"/>
              </w:rPr>
              <w:t>Referral</w:t>
            </w:r>
          </w:p>
        </w:tc>
        <w:tc>
          <w:tcPr>
            <w:tcW w:w="1624" w:type="dxa"/>
            <w:shd w:val="clear" w:color="auto" w:fill="EBF3FB"/>
          </w:tcPr>
          <w:p w14:paraId="00100204" w14:textId="00100205">
            <w:pPr>
              <w:jc w:val="center"/>
            </w:pPr>
            <w:r>
              <w:rPr>
                <w:sz w:val="18"/>
              </w:rPr>
              <w:t>4,116</w:t>
            </w:r>
          </w:p>
        </w:tc>
        <w:tc>
          <w:tcPr>
            <w:tcW w:w="1624" w:type="dxa"/>
            <w:shd w:val="clear" w:color="auto" w:fill="EBF3FB"/>
          </w:tcPr>
          <w:p w14:paraId="00100206" w14:textId="00100207">
            <w:pPr>
              <w:jc w:val="center"/>
            </w:pPr>
            <w:r>
              <w:rPr>
                <w:sz w:val="18"/>
              </w:rPr>
              <w:t>932</w:t>
            </w:r>
          </w:p>
        </w:tc>
        <w:tc>
          <w:tcPr>
            <w:tcW w:w="1624" w:type="dxa"/>
            <w:shd w:val="clear" w:color="auto" w:fill="EBF3FB"/>
          </w:tcPr>
          <w:p w14:paraId="00100208" w14:textId="00100209">
            <w:pPr>
              <w:jc w:val="center"/>
            </w:pPr>
            <w:r>
              <w:rPr>
                <w:sz w:val="18"/>
              </w:rPr>
              <w:t>22.64</w:t>
            </w:r>
          </w:p>
        </w:tc>
        <w:tc>
          <w:tcPr>
            <w:tcW w:w="1624" w:type="dxa"/>
            <w:shd w:val="clear" w:color="auto" w:fill="EBF3FB"/>
          </w:tcPr>
          <w:p w14:paraId="0010020A" w14:textId="0010020B">
            <w:pPr>
              <w:jc w:val="center"/>
            </w:pPr>
            <w:r>
              <w:rPr>
                <w:sz w:val="18"/>
              </w:rPr>
              <w:t>16,75,463.47</w:t>
            </w:r>
          </w:p>
        </w:tc>
        <w:tc>
          <w:tcPr>
            <w:tcW w:w="1624" w:type="dxa"/>
            <w:shd w:val="clear" w:color="auto" w:fill="EBF3FB"/>
          </w:tcPr>
          <w:p w14:paraId="0010020C" w14:textId="0010020D">
            <w:pPr>
              <w:jc w:val="center"/>
            </w:pPr>
            <w:r>
              <w:rPr>
                <w:sz w:val="18"/>
              </w:rPr>
              <w:t>41.91</w:t>
            </w:r>
          </w:p>
        </w:tc>
      </w:tr>
      <w:tr>
        <w:tc>
          <w:tcPr>
            <w:tcW w:w="1624" w:type="dxa"/>
            <w:shd w:val="clear" w:color="auto" w:fill="FFFFFF"/>
          </w:tcPr>
          <w:p w14:paraId="0010020E" w14:textId="0010020F">
            <w:pPr>
              <w:jc w:val="center"/>
            </w:pPr>
            <w:r>
              <w:rPr>
                <w:sz w:val="18"/>
              </w:rPr>
              <w:t>Organic Search</w:t>
            </w:r>
          </w:p>
        </w:tc>
        <w:tc>
          <w:tcPr>
            <w:tcW w:w="1624" w:type="dxa"/>
            <w:shd w:val="clear" w:color="auto" w:fill="FFFFFF"/>
          </w:tcPr>
          <w:p w14:paraId="00100210" w14:textId="00100211">
            <w:pPr>
              <w:jc w:val="center"/>
            </w:pPr>
            <w:r>
              <w:rPr>
                <w:sz w:val="18"/>
              </w:rPr>
              <w:t>4,041</w:t>
            </w:r>
          </w:p>
        </w:tc>
        <w:tc>
          <w:tcPr>
            <w:tcW w:w="1624" w:type="dxa"/>
            <w:shd w:val="clear" w:color="auto" w:fill="FFFFFF"/>
          </w:tcPr>
          <w:p w14:paraId="00100212" w14:textId="00100213">
            <w:pPr>
              <w:jc w:val="center"/>
            </w:pPr>
            <w:r>
              <w:rPr>
                <w:sz w:val="18"/>
              </w:rPr>
              <w:t>918</w:t>
            </w:r>
          </w:p>
        </w:tc>
        <w:tc>
          <w:tcPr>
            <w:tcW w:w="1624" w:type="dxa"/>
            <w:shd w:val="clear" w:color="auto" w:fill="FFFFFF"/>
          </w:tcPr>
          <w:p w14:paraId="00100214" w14:textId="00100215">
            <w:pPr>
              <w:jc w:val="center"/>
            </w:pPr>
            <w:r>
              <w:rPr>
                <w:sz w:val="18"/>
              </w:rPr>
              <w:t>22.72</w:t>
            </w:r>
          </w:p>
        </w:tc>
        <w:tc>
          <w:tcPr>
            <w:tcW w:w="1624" w:type="dxa"/>
            <w:shd w:val="clear" w:color="auto" w:fill="FFFFFF"/>
          </w:tcPr>
          <w:p w14:paraId="00100216" w14:textId="00100217">
            <w:pPr>
              <w:jc w:val="center"/>
            </w:pPr>
            <w:r>
              <w:rPr>
                <w:sz w:val="18"/>
              </w:rPr>
              <w:t>16,61,328.76</w:t>
            </w:r>
          </w:p>
        </w:tc>
        <w:tc>
          <w:tcPr>
            <w:tcW w:w="1624" w:type="dxa"/>
            <w:shd w:val="clear" w:color="auto" w:fill="FFFFFF"/>
          </w:tcPr>
          <w:p w14:paraId="00100218" w14:textId="00100219">
            <w:pPr>
              <w:jc w:val="center"/>
            </w:pPr>
            <w:r>
              <w:rPr>
                <w:sz w:val="18"/>
              </w:rPr>
              <w:t>42.84</w:t>
            </w:r>
          </w:p>
        </w:tc>
      </w:tr>
      <w:tr>
        <w:tc>
          <w:tcPr>
            <w:tcW w:w="1624" w:type="dxa"/>
            <w:shd w:val="clear" w:color="auto" w:fill="EBF3FB"/>
          </w:tcPr>
          <w:p w14:paraId="0010021A" w14:textId="0010021B">
            <w:pPr>
              <w:jc w:val="center"/>
            </w:pPr>
            <w:r>
              <w:rPr>
                <w:sz w:val="18"/>
              </w:rPr>
              <w:t>Email</w:t>
            </w:r>
          </w:p>
        </w:tc>
        <w:tc>
          <w:tcPr>
            <w:tcW w:w="1624" w:type="dxa"/>
            <w:shd w:val="clear" w:color="auto" w:fill="EBF3FB"/>
          </w:tcPr>
          <w:p w14:paraId="0010021C" w14:textId="0010021D">
            <w:pPr>
              <w:jc w:val="center"/>
            </w:pPr>
            <w:r>
              <w:rPr>
                <w:sz w:val="18"/>
              </w:rPr>
              <w:t>4,190</w:t>
            </w:r>
          </w:p>
        </w:tc>
        <w:tc>
          <w:tcPr>
            <w:tcW w:w="1624" w:type="dxa"/>
            <w:shd w:val="clear" w:color="auto" w:fill="EBF3FB"/>
          </w:tcPr>
          <w:p w14:paraId="0010021E" w14:textId="0010021F">
            <w:pPr>
              <w:jc w:val="center"/>
            </w:pPr>
            <w:r>
              <w:rPr>
                <w:sz w:val="18"/>
              </w:rPr>
              <w:t>927</w:t>
            </w:r>
          </w:p>
        </w:tc>
        <w:tc>
          <w:tcPr>
            <w:tcW w:w="1624" w:type="dxa"/>
            <w:shd w:val="clear" w:color="auto" w:fill="EBF3FB"/>
          </w:tcPr>
          <w:p w14:paraId="00100220" w14:textId="00100221">
            <w:pPr>
              <w:jc w:val="center"/>
            </w:pPr>
            <w:r>
              <w:rPr>
                <w:sz w:val="18"/>
              </w:rPr>
              <w:t>22.12</w:t>
            </w:r>
          </w:p>
        </w:tc>
        <w:tc>
          <w:tcPr>
            <w:tcW w:w="1624" w:type="dxa"/>
            <w:shd w:val="clear" w:color="auto" w:fill="EBF3FB"/>
          </w:tcPr>
          <w:p w14:paraId="00100222" w14:textId="00100223">
            <w:pPr>
              <w:jc w:val="center"/>
            </w:pPr>
            <w:r>
              <w:rPr>
                <w:sz w:val="18"/>
              </w:rPr>
              <w:t>16,46,768.68</w:t>
            </w:r>
          </w:p>
        </w:tc>
        <w:tc>
          <w:tcPr>
            <w:tcW w:w="1624" w:type="dxa"/>
            <w:shd w:val="clear" w:color="auto" w:fill="EBF3FB"/>
          </w:tcPr>
          <w:p w14:paraId="00100224" w14:textId="00100225">
            <w:pPr>
              <w:jc w:val="center"/>
            </w:pPr>
            <w:r>
              <w:rPr>
                <w:sz w:val="18"/>
              </w:rPr>
              <w:t>42.10</w:t>
            </w:r>
          </w:p>
        </w:tc>
      </w:tr>
      <w:tr>
        <w:tc>
          <w:tcPr>
            <w:tcW w:w="1624" w:type="dxa"/>
            <w:shd w:val="clear" w:color="auto" w:fill="FFFFFF"/>
          </w:tcPr>
          <w:p w14:paraId="00100226" w14:textId="00100227">
            <w:pPr>
              <w:jc w:val="center"/>
            </w:pPr>
            <w:r>
              <w:rPr>
                <w:sz w:val="18"/>
              </w:rPr>
              <w:t>Paid Search</w:t>
            </w:r>
          </w:p>
        </w:tc>
        <w:tc>
          <w:tcPr>
            <w:tcW w:w="1624" w:type="dxa"/>
            <w:shd w:val="clear" w:color="auto" w:fill="FFFFFF"/>
          </w:tcPr>
          <w:p w14:paraId="00100228" w14:textId="00100229">
            <w:pPr>
              <w:jc w:val="center"/>
            </w:pPr>
            <w:r>
              <w:rPr>
                <w:sz w:val="18"/>
              </w:rPr>
              <w:t>4,109</w:t>
            </w:r>
          </w:p>
        </w:tc>
        <w:tc>
          <w:tcPr>
            <w:tcW w:w="1624" w:type="dxa"/>
            <w:shd w:val="clear" w:color="auto" w:fill="FFFFFF"/>
          </w:tcPr>
          <w:p w14:paraId="0010022A" w14:textId="0010022B">
            <w:pPr>
              <w:jc w:val="center"/>
            </w:pPr>
            <w:r>
              <w:rPr>
                <w:sz w:val="18"/>
              </w:rPr>
              <w:t>890</w:t>
            </w:r>
          </w:p>
        </w:tc>
        <w:tc>
          <w:tcPr>
            <w:tcW w:w="1624" w:type="dxa"/>
            <w:shd w:val="clear" w:color="auto" w:fill="FFFFFF"/>
          </w:tcPr>
          <w:p w14:paraId="0010022C" w14:textId="0010022D">
            <w:pPr>
              <w:jc w:val="center"/>
            </w:pPr>
            <w:r>
              <w:rPr>
                <w:sz w:val="18"/>
              </w:rPr>
              <w:t>21.66</w:t>
            </w:r>
          </w:p>
        </w:tc>
        <w:tc>
          <w:tcPr>
            <w:tcW w:w="1624" w:type="dxa"/>
            <w:shd w:val="clear" w:color="auto" w:fill="FFFFFF"/>
          </w:tcPr>
          <w:p w14:paraId="0010022E" w14:textId="0010022F">
            <w:pPr>
              <w:jc w:val="center"/>
            </w:pPr>
            <w:r>
              <w:rPr>
                <w:sz w:val="18"/>
              </w:rPr>
              <w:t>15,99,821.67</w:t>
            </w:r>
          </w:p>
        </w:tc>
        <w:tc>
          <w:tcPr>
            <w:tcW w:w="1624" w:type="dxa"/>
            <w:shd w:val="clear" w:color="auto" w:fill="FFFFFF"/>
          </w:tcPr>
          <w:p w14:paraId="00100230" w14:textId="00100231">
            <w:pPr>
              <w:jc w:val="center"/>
            </w:pPr>
            <w:r>
              <w:rPr>
                <w:sz w:val="18"/>
              </w:rPr>
              <w:t>41.86</w:t>
            </w:r>
          </w:p>
        </w:tc>
      </w:tr>
    </w:tbl>
    <w:p w14:paraId="00100232" w14:textId="00100233">
      <w:pPr>
        <w:spacing w:after="160"/>
      </w:pPr>
    </w:p>
    <w:p w14:paraId="00100234" w14:textId="00100235">
      <w:pPr>
        <w:spacing w:before="0" w:after="160"/>
        <w:jc w:val="left"/>
      </w:pPr>
      <w:r>
        <w:rPr>
          <w:b w:val="0"/>
          <w:i w:val="0"/>
          <w:sz w:val="20"/>
        </w:rPr>
        <w:t>Direct traffic leads in both revenue and conversion rate. Paid Search has the lowest conversion rate despite high session volume.</w:t>
      </w:r>
    </w:p>
    <w:p w14:paraId="00100236" w14:textId="00100237">
      <w:pPr>
        <w:pBdr>
          <w:bottom w:val="single" w:color="2E74B5" w:sz="6" w:space="1"/>
        </w:pBdr>
        <w:spacing w:after="200"/>
      </w:pPr>
    </w:p>
    <w:p w14:paraId="00100238" w14:textId="00100239">
      <w:pPr>
        <w:pStyle w:val="Heading1"/>
        <w:spacing w:before="240" w:after="120"/>
      </w:pPr>
      <w:r>
        <w:rPr>
          <w:color w:val="1F497D"/>
          <w:sz w:val="28"/>
        </w:rPr>
        <w:t>14.  Cart Abandonment &amp; Discount Analysis</w:t>
      </w:r>
    </w:p>
    <w:p w14:paraId="0010023A" w14:textId="0010023B"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188313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19_out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8313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10023C" w14:textId="0010023D">
      <w:pPr>
        <w:spacing w:after="200"/>
        <w:jc w:val="center"/>
      </w:pPr>
      <w:r>
        <w:rPr>
          <w:i/>
          <w:color w:val="646464"/>
          <w:sz w:val="18"/>
        </w:rPr>
        <w:t>Figure 12 — Cart Abandonment Rate by Discount and Discount Distribution: Purchased vs Abandoned</w:t>
      </w:r>
    </w:p>
    <w:p w14:paraId="0010023E" w14:textId="0010023F">
      <w:pPr>
        <w:spacing w:before="0" w:after="160"/>
        <w:jc w:val="left"/>
      </w:pPr>
      <w:r>
        <w:rPr>
          <w:b w:val="0"/>
          <w:i w:val="0"/>
          <w:sz w:val="20"/>
        </w:rPr>
        <w:t>Overall Cart Abandonment Rate: 42.00%  |  Discounts do not significantly reduce abandonment — price is not the primary driver. UX improvements and session engagement are more effective levers.</w:t>
      </w:r>
    </w:p>
    <w:p w14:paraId="00100240" w14:textId="00100241">
      <w:pPr>
        <w:pBdr>
          <w:bottom w:val="single" w:color="2E74B5" w:sz="6" w:space="1"/>
        </w:pBdr>
        <w:spacing w:after="200"/>
      </w:pPr>
    </w:p>
    <w:p w14:paraId="00100242" w14:textId="00100243">
      <w:pPr>
        <w:pStyle w:val="Heading1"/>
        <w:spacing w:before="240" w:after="120"/>
      </w:pPr>
      <w:r>
        <w:rPr>
          <w:color w:val="1F497D"/>
          <w:sz w:val="28"/>
        </w:rPr>
        <w:t>15.  Payment Method Analysis</w:t>
      </w:r>
    </w:p>
    <w:p w14:paraId="00100244" w14:textId="00100245"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23489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20_out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3489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100246" w14:textId="00100247">
      <w:pPr>
        <w:spacing w:after="200"/>
        <w:jc w:val="center"/>
      </w:pPr>
      <w:r>
        <w:rPr>
          <w:i/>
          <w:color w:val="646464"/>
          <w:sz w:val="18"/>
        </w:rPr>
        <w:t>Figure 13 — Sessions Distribution and Revenue by Payment Method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w="1949" w:type="dxa"/>
            <w:shd w:val="clear" w:color="auto" w:fill="1F497D"/>
          </w:tcPr>
          <w:p w14:paraId="00100248" w14:textId="00100249">
            <w:pPr>
              <w:jc w:val="center"/>
            </w:pPr>
            <w:r>
              <w:rPr>
                <w:b/>
                <w:color w:val="FFFFFF"/>
                <w:sz w:val="18"/>
              </w:rPr>
              <w:t>Payment Method</w:t>
            </w:r>
          </w:p>
        </w:tc>
        <w:tc>
          <w:tcPr>
            <w:tcW w:w="1949" w:type="dxa"/>
            <w:shd w:val="clear" w:color="auto" w:fill="1F497D"/>
          </w:tcPr>
          <w:p w14:paraId="0010024A" w14:textId="0010024B">
            <w:pPr>
              <w:jc w:val="center"/>
            </w:pPr>
            <w:r>
              <w:rPr>
                <w:b/>
                <w:color w:val="FFFFFF"/>
                <w:sz w:val="18"/>
              </w:rPr>
              <w:t>Sessions</w:t>
            </w:r>
          </w:p>
        </w:tc>
        <w:tc>
          <w:tcPr>
            <w:tcW w:w="1949" w:type="dxa"/>
            <w:shd w:val="clear" w:color="auto" w:fill="1F497D"/>
          </w:tcPr>
          <w:p w14:paraId="0010024C" w14:textId="0010024D">
            <w:pPr>
              <w:jc w:val="center"/>
            </w:pPr>
            <w:r>
              <w:rPr>
                <w:b/>
                <w:color w:val="FFFFFF"/>
                <w:sz w:val="18"/>
              </w:rPr>
              <w:t>Purchases</w:t>
            </w:r>
          </w:p>
        </w:tc>
        <w:tc>
          <w:tcPr>
            <w:tcW w:w="1949" w:type="dxa"/>
            <w:shd w:val="clear" w:color="auto" w:fill="1F497D"/>
          </w:tcPr>
          <w:p w14:paraId="0010024E" w14:textId="0010024F">
            <w:pPr>
              <w:jc w:val="center"/>
            </w:pPr>
            <w:r>
              <w:rPr>
                <w:b/>
                <w:color w:val="FFFFFF"/>
                <w:sz w:val="18"/>
              </w:rPr>
              <w:t>Conv. Rate (%)</w:t>
            </w:r>
          </w:p>
        </w:tc>
        <w:tc>
          <w:tcPr>
            <w:tcW w:w="1949" w:type="dxa"/>
            <w:shd w:val="clear" w:color="auto" w:fill="1F497D"/>
          </w:tcPr>
          <w:p w14:paraId="00100250" w14:textId="00100251">
            <w:pPr>
              <w:jc w:val="center"/>
            </w:pPr>
            <w:r>
              <w:rPr>
                <w:b/>
                <w:color w:val="FFFFFF"/>
                <w:sz w:val="18"/>
              </w:rPr>
              <w:t>Total Revenue (₹)</w:t>
            </w:r>
          </w:p>
        </w:tc>
      </w:tr>
      <w:tr>
        <w:tc>
          <w:tcPr>
            <w:tcW w:w="1949" w:type="dxa"/>
            <w:shd w:val="clear" w:color="auto" w:fill="EBF3FB"/>
          </w:tcPr>
          <w:p w14:paraId="00100252" w14:textId="00100253">
            <w:pPr>
              <w:jc w:val="center"/>
            </w:pPr>
            <w:r>
              <w:rPr>
                <w:sz w:val="18"/>
              </w:rPr>
              <w:t>Credit Card</w:t>
            </w:r>
          </w:p>
        </w:tc>
        <w:tc>
          <w:tcPr>
            <w:tcW w:w="1949" w:type="dxa"/>
            <w:shd w:val="clear" w:color="auto" w:fill="EBF3FB"/>
          </w:tcPr>
          <w:p w14:paraId="00100254" w14:textId="00100255">
            <w:pPr>
              <w:jc w:val="center"/>
            </w:pPr>
            <w:r>
              <w:rPr>
                <w:sz w:val="18"/>
              </w:rPr>
              <w:t>4,281</w:t>
            </w:r>
          </w:p>
        </w:tc>
        <w:tc>
          <w:tcPr>
            <w:tcW w:w="1949" w:type="dxa"/>
            <w:shd w:val="clear" w:color="auto" w:fill="EBF3FB"/>
          </w:tcPr>
          <w:p w14:paraId="00100256" w14:textId="00100257">
            <w:pPr>
              <w:jc w:val="center"/>
            </w:pPr>
            <w:r>
              <w:rPr>
                <w:sz w:val="18"/>
              </w:rPr>
              <w:t>980</w:t>
            </w:r>
          </w:p>
        </w:tc>
        <w:tc>
          <w:tcPr>
            <w:tcW w:w="1949" w:type="dxa"/>
            <w:shd w:val="clear" w:color="auto" w:fill="EBF3FB"/>
          </w:tcPr>
          <w:p w14:paraId="00100258" w14:textId="00100259">
            <w:pPr>
              <w:jc w:val="center"/>
            </w:pPr>
            <w:r>
              <w:rPr>
                <w:sz w:val="18"/>
              </w:rPr>
              <w:t>22.89</w:t>
            </w:r>
          </w:p>
        </w:tc>
        <w:tc>
          <w:tcPr>
            <w:tcW w:w="1949" w:type="dxa"/>
            <w:shd w:val="clear" w:color="auto" w:fill="EBF3FB"/>
          </w:tcPr>
          <w:p w14:paraId="0010025A" w14:textId="0010025B">
            <w:pPr>
              <w:jc w:val="center"/>
            </w:pPr>
            <w:r>
              <w:rPr>
                <w:sz w:val="18"/>
              </w:rPr>
              <w:t>17,04,606.02</w:t>
            </w:r>
          </w:p>
        </w:tc>
      </w:tr>
      <w:tr>
        <w:tc>
          <w:tcPr>
            <w:tcW w:w="1949" w:type="dxa"/>
            <w:shd w:val="clear" w:color="auto" w:fill="FFFFFF"/>
          </w:tcPr>
          <w:p w14:paraId="0010025C" w14:textId="0010025D">
            <w:pPr>
              <w:jc w:val="center"/>
            </w:pPr>
            <w:r>
              <w:rPr>
                <w:sz w:val="18"/>
              </w:rPr>
              <w:t>Net Banking</w:t>
            </w:r>
          </w:p>
        </w:tc>
        <w:tc>
          <w:tcPr>
            <w:tcW w:w="1949" w:type="dxa"/>
            <w:shd w:val="clear" w:color="auto" w:fill="FFFFFF"/>
          </w:tcPr>
          <w:p w14:paraId="0010025E" w14:textId="0010025F">
            <w:pPr>
              <w:jc w:val="center"/>
            </w:pPr>
            <w:r>
              <w:rPr>
                <w:sz w:val="18"/>
              </w:rPr>
              <w:t>4,140</w:t>
            </w:r>
          </w:p>
        </w:tc>
        <w:tc>
          <w:tcPr>
            <w:tcW w:w="1949" w:type="dxa"/>
            <w:shd w:val="clear" w:color="auto" w:fill="FFFFFF"/>
          </w:tcPr>
          <w:p w14:paraId="00100260" w14:textId="00100261">
            <w:pPr>
              <w:jc w:val="center"/>
            </w:pPr>
            <w:r>
              <w:rPr>
                <w:sz w:val="18"/>
              </w:rPr>
              <w:t>949</w:t>
            </w:r>
          </w:p>
        </w:tc>
        <w:tc>
          <w:tcPr>
            <w:tcW w:w="1949" w:type="dxa"/>
            <w:shd w:val="clear" w:color="auto" w:fill="FFFFFF"/>
          </w:tcPr>
          <w:p w14:paraId="00100262" w14:textId="00100263">
            <w:pPr>
              <w:jc w:val="center"/>
            </w:pPr>
            <w:r>
              <w:rPr>
                <w:sz w:val="18"/>
              </w:rPr>
              <w:t>22.92</w:t>
            </w:r>
          </w:p>
        </w:tc>
        <w:tc>
          <w:tcPr>
            <w:tcW w:w="1949" w:type="dxa"/>
            <w:shd w:val="clear" w:color="auto" w:fill="FFFFFF"/>
          </w:tcPr>
          <w:p w14:paraId="00100264" w14:textId="00100265">
            <w:pPr>
              <w:jc w:val="center"/>
            </w:pPr>
            <w:r>
              <w:rPr>
                <w:sz w:val="18"/>
              </w:rPr>
              <w:t>16,48,044.55</w:t>
            </w:r>
          </w:p>
        </w:tc>
      </w:tr>
      <w:tr>
        <w:tc>
          <w:tcPr>
            <w:tcW w:w="1949" w:type="dxa"/>
            <w:shd w:val="clear" w:color="auto" w:fill="EBF3FB"/>
          </w:tcPr>
          <w:p w14:paraId="00100266" w14:textId="00100267">
            <w:pPr>
              <w:jc w:val="center"/>
            </w:pPr>
            <w:r>
              <w:rPr>
                <w:sz w:val="18"/>
              </w:rPr>
              <w:t>Debit Card</w:t>
            </w:r>
          </w:p>
        </w:tc>
        <w:tc>
          <w:tcPr>
            <w:tcW w:w="1949" w:type="dxa"/>
            <w:shd w:val="clear" w:color="auto" w:fill="EBF3FB"/>
          </w:tcPr>
          <w:p w14:paraId="00100268" w14:textId="00100269">
            <w:pPr>
              <w:jc w:val="center"/>
            </w:pPr>
            <w:r>
              <w:rPr>
                <w:sz w:val="18"/>
              </w:rPr>
              <w:t>4,051</w:t>
            </w:r>
          </w:p>
        </w:tc>
        <w:tc>
          <w:tcPr>
            <w:tcW w:w="1949" w:type="dxa"/>
            <w:shd w:val="clear" w:color="auto" w:fill="EBF3FB"/>
          </w:tcPr>
          <w:p w14:paraId="0010026A" w14:textId="0010026B">
            <w:pPr>
              <w:jc w:val="center"/>
            </w:pPr>
            <w:r>
              <w:rPr>
                <w:sz w:val="18"/>
              </w:rPr>
              <w:t>940</w:t>
            </w:r>
          </w:p>
        </w:tc>
        <w:tc>
          <w:tcPr>
            <w:tcW w:w="1949" w:type="dxa"/>
            <w:shd w:val="clear" w:color="auto" w:fill="EBF3FB"/>
          </w:tcPr>
          <w:p w14:paraId="0010026C" w14:textId="0010026D">
            <w:pPr>
              <w:jc w:val="center"/>
            </w:pPr>
            <w:r>
              <w:rPr>
                <w:sz w:val="18"/>
              </w:rPr>
              <w:t>23.20</w:t>
            </w:r>
          </w:p>
        </w:tc>
        <w:tc>
          <w:tcPr>
            <w:tcW w:w="1949" w:type="dxa"/>
            <w:shd w:val="clear" w:color="auto" w:fill="EBF3FB"/>
          </w:tcPr>
          <w:p w14:paraId="0010026E" w14:textId="0010026F">
            <w:pPr>
              <w:jc w:val="center"/>
            </w:pPr>
            <w:r>
              <w:rPr>
                <w:sz w:val="18"/>
              </w:rPr>
              <w:t>17,50,767.19</w:t>
            </w:r>
          </w:p>
        </w:tc>
      </w:tr>
      <w:tr>
        <w:tc>
          <w:tcPr>
            <w:tcW w:w="1949" w:type="dxa"/>
            <w:shd w:val="clear" w:color="auto" w:fill="FFFFFF"/>
          </w:tcPr>
          <w:p w14:paraId="00100270" w14:textId="00100271">
            <w:pPr>
              <w:jc w:val="center"/>
            </w:pPr>
            <w:r>
              <w:rPr>
                <w:sz w:val="18"/>
              </w:rPr>
              <w:t>Cash on Delivery</w:t>
            </w:r>
          </w:p>
        </w:tc>
        <w:tc>
          <w:tcPr>
            <w:tcW w:w="1949" w:type="dxa"/>
            <w:shd w:val="clear" w:color="auto" w:fill="FFFFFF"/>
          </w:tcPr>
          <w:p w14:paraId="00100272" w14:textId="00100273">
            <w:pPr>
              <w:jc w:val="center"/>
            </w:pPr>
            <w:r>
              <w:rPr>
                <w:sz w:val="18"/>
              </w:rPr>
              <w:t>4,229</w:t>
            </w:r>
          </w:p>
        </w:tc>
        <w:tc>
          <w:tcPr>
            <w:tcW w:w="1949" w:type="dxa"/>
            <w:shd w:val="clear" w:color="auto" w:fill="FFFFFF"/>
          </w:tcPr>
          <w:p w14:paraId="00100274" w14:textId="00100275">
            <w:pPr>
              <w:jc w:val="center"/>
            </w:pPr>
            <w:r>
              <w:rPr>
                <w:sz w:val="18"/>
              </w:rPr>
              <w:t>939</w:t>
            </w:r>
          </w:p>
        </w:tc>
        <w:tc>
          <w:tcPr>
            <w:tcW w:w="1949" w:type="dxa"/>
            <w:shd w:val="clear" w:color="auto" w:fill="FFFFFF"/>
          </w:tcPr>
          <w:p w14:paraId="00100276" w14:textId="00100277">
            <w:pPr>
              <w:jc w:val="center"/>
            </w:pPr>
            <w:r>
              <w:rPr>
                <w:sz w:val="18"/>
              </w:rPr>
              <w:t>22.20</w:t>
            </w:r>
          </w:p>
        </w:tc>
        <w:tc>
          <w:tcPr>
            <w:tcW w:w="1949" w:type="dxa"/>
            <w:shd w:val="clear" w:color="auto" w:fill="FFFFFF"/>
          </w:tcPr>
          <w:p w14:paraId="00100278" w14:textId="00100279">
            <w:pPr>
              <w:jc w:val="center"/>
            </w:pPr>
            <w:r>
              <w:rPr>
                <w:sz w:val="18"/>
              </w:rPr>
              <w:t>16,91,611.30</w:t>
            </w:r>
          </w:p>
        </w:tc>
      </w:tr>
      <w:tr>
        <w:tc>
          <w:tcPr>
            <w:tcW w:w="1949" w:type="dxa"/>
            <w:shd w:val="clear" w:color="auto" w:fill="EBF3FB"/>
          </w:tcPr>
          <w:p w14:paraId="0010027A" w14:textId="0010027B">
            <w:pPr>
              <w:jc w:val="center"/>
            </w:pPr>
            <w:r>
              <w:rPr>
                <w:sz w:val="18"/>
              </w:rPr>
              <w:t>Wallet</w:t>
            </w:r>
          </w:p>
        </w:tc>
        <w:tc>
          <w:tcPr>
            <w:tcW w:w="1949" w:type="dxa"/>
            <w:shd w:val="clear" w:color="auto" w:fill="EBF3FB"/>
          </w:tcPr>
          <w:p w14:paraId="0010027C" w14:textId="0010027D">
            <w:pPr>
              <w:jc w:val="center"/>
            </w:pPr>
            <w:r>
              <w:rPr>
                <w:sz w:val="18"/>
              </w:rPr>
              <w:t>4,072</w:t>
            </w:r>
          </w:p>
        </w:tc>
        <w:tc>
          <w:tcPr>
            <w:tcW w:w="1949" w:type="dxa"/>
            <w:shd w:val="clear" w:color="auto" w:fill="EBF3FB"/>
          </w:tcPr>
          <w:p w14:paraId="0010027E" w14:textId="0010027F">
            <w:pPr>
              <w:jc w:val="center"/>
            </w:pPr>
            <w:r>
              <w:rPr>
                <w:sz w:val="18"/>
              </w:rPr>
              <w:t>913</w:t>
            </w:r>
          </w:p>
        </w:tc>
        <w:tc>
          <w:tcPr>
            <w:tcW w:w="1949" w:type="dxa"/>
            <w:shd w:val="clear" w:color="auto" w:fill="EBF3FB"/>
          </w:tcPr>
          <w:p w14:paraId="00100280" w14:textId="00100281">
            <w:pPr>
              <w:jc w:val="center"/>
            </w:pPr>
            <w:r>
              <w:rPr>
                <w:sz w:val="18"/>
              </w:rPr>
              <w:t>22.42</w:t>
            </w:r>
          </w:p>
        </w:tc>
        <w:tc>
          <w:tcPr>
            <w:tcW w:w="1949" w:type="dxa"/>
            <w:shd w:val="clear" w:color="auto" w:fill="EBF3FB"/>
          </w:tcPr>
          <w:p w14:paraId="00100282" w14:textId="00100283">
            <w:pPr>
              <w:jc w:val="center"/>
            </w:pPr>
            <w:r>
              <w:rPr>
                <w:sz w:val="18"/>
              </w:rPr>
              <w:t>16,62,561.53</w:t>
            </w:r>
          </w:p>
        </w:tc>
      </w:tr>
      <w:tr>
        <w:tc>
          <w:tcPr>
            <w:tcW w:w="1949" w:type="dxa"/>
            <w:shd w:val="clear" w:color="auto" w:fill="FFFFFF"/>
          </w:tcPr>
          <w:p w14:paraId="00100284" w14:textId="00100285">
            <w:pPr>
              <w:jc w:val="center"/>
            </w:pPr>
            <w:r>
              <w:rPr>
                <w:sz w:val="18"/>
              </w:rPr>
              <w:t>UPI</w:t>
            </w:r>
          </w:p>
        </w:tc>
        <w:tc>
          <w:tcPr>
            <w:tcW w:w="1949" w:type="dxa"/>
            <w:shd w:val="clear" w:color="auto" w:fill="FFFFFF"/>
          </w:tcPr>
          <w:p w14:paraId="00100286" w14:textId="00100287">
            <w:pPr>
              <w:jc w:val="center"/>
            </w:pPr>
            <w:r>
              <w:rPr>
                <w:sz w:val="18"/>
              </w:rPr>
              <w:t>4,227</w:t>
            </w:r>
          </w:p>
        </w:tc>
        <w:tc>
          <w:tcPr>
            <w:tcW w:w="1949" w:type="dxa"/>
            <w:shd w:val="clear" w:color="auto" w:fill="FFFFFF"/>
          </w:tcPr>
          <w:p w14:paraId="00100288" w14:textId="00100289">
            <w:pPr>
              <w:jc w:val="center"/>
            </w:pPr>
            <w:r>
              <w:rPr>
                <w:sz w:val="18"/>
              </w:rPr>
              <w:t>895</w:t>
            </w:r>
          </w:p>
        </w:tc>
        <w:tc>
          <w:tcPr>
            <w:tcW w:w="1949" w:type="dxa"/>
            <w:shd w:val="clear" w:color="auto" w:fill="FFFFFF"/>
          </w:tcPr>
          <w:p w14:paraId="0010028A" w14:textId="0010028B">
            <w:pPr>
              <w:jc w:val="center"/>
            </w:pPr>
            <w:r>
              <w:rPr>
                <w:sz w:val="18"/>
              </w:rPr>
              <w:t>21.17</w:t>
            </w:r>
          </w:p>
        </w:tc>
        <w:tc>
          <w:tcPr>
            <w:tcW w:w="1949" w:type="dxa"/>
            <w:shd w:val="clear" w:color="auto" w:fill="FFFFFF"/>
          </w:tcPr>
          <w:p w14:paraId="0010028C" w14:textId="0010028D">
            <w:pPr>
              <w:jc w:val="center"/>
            </w:pPr>
            <w:r>
              <w:rPr>
                <w:sz w:val="18"/>
              </w:rPr>
              <w:t>16,58,578.47</w:t>
            </w:r>
          </w:p>
        </w:tc>
      </w:tr>
    </w:tbl>
    <w:p w14:paraId="0010028E" w14:textId="0010028F">
      <w:pPr>
        <w:spacing w:after="160"/>
      </w:pPr>
    </w:p>
    <w:p w14:paraId="00100290" w14:textId="00100291">
      <w:pPr>
        <w:spacing w:before="0" w:after="160"/>
        <w:jc w:val="left"/>
      </w:pPr>
      <w:r>
        <w:rPr>
          <w:b w:val="0"/>
          <w:i w:val="0"/>
          <w:sz w:val="20"/>
        </w:rPr>
        <w:t>Payment methods are evenly distributed. Debit Card leads in conversion rate (23.20%). UPI has the lowest conversion rate, indicating friction in UPI checkout flow.</w:t>
      </w:r>
    </w:p>
    <w:p w14:paraId="00100292" w14:textId="00100293">
      <w:pPr>
        <w:pBdr>
          <w:bottom w:val="single" w:color="2E74B5" w:sz="6" w:space="1"/>
        </w:pBdr>
        <w:spacing w:after="200"/>
      </w:pPr>
    </w:p>
    <w:p w14:paraId="00100294" w14:textId="00100295">
      <w:pPr>
        <w:pStyle w:val="Heading1"/>
        <w:spacing w:before="240" w:after="120"/>
      </w:pPr>
      <w:r>
        <w:rPr>
          <w:color w:val="1F497D"/>
          <w:sz w:val="28"/>
        </w:rPr>
        <w:t>16.  Customer Rating Analysis</w:t>
      </w:r>
    </w:p>
    <w:p w14:paraId="00100296" w14:textId="00100297"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164476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21_out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4476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100298" w14:textId="00100299">
      <w:pPr>
        <w:spacing w:after="200"/>
        <w:jc w:val="center"/>
      </w:pPr>
      <w:r>
        <w:rPr>
          <w:i/>
          <w:color w:val="646464"/>
          <w:sz w:val="18"/>
        </w:rPr>
        <w:t>Figure 14 — Rating Distribution, Avg Revenue by Rating, and Conversion Rate by Rating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>
        <w:tc>
          <w:tcPr>
            <w:tcW w:w="2436" w:type="dxa"/>
            <w:shd w:val="clear" w:color="auto" w:fill="1F497D"/>
          </w:tcPr>
          <w:p w14:paraId="0010029A" w14:textId="0010029B">
            <w:pPr>
              <w:jc w:val="center"/>
            </w:pPr>
            <w:r>
              <w:rPr>
                <w:b/>
                <w:color w:val="FFFFFF"/>
                <w:sz w:val="18"/>
              </w:rPr>
              <w:t>Rating</w:t>
            </w:r>
          </w:p>
        </w:tc>
        <w:tc>
          <w:tcPr>
            <w:tcW w:w="2436" w:type="dxa"/>
            <w:shd w:val="clear" w:color="auto" w:fill="1F497D"/>
          </w:tcPr>
          <w:p w14:paraId="0010029C" w14:textId="0010029D">
            <w:pPr>
              <w:jc w:val="center"/>
            </w:pPr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w="2436" w:type="dxa"/>
            <w:shd w:val="clear" w:color="auto" w:fill="1F497D"/>
          </w:tcPr>
          <w:p w14:paraId="0010029E" w14:textId="0010029F">
            <w:pPr>
              <w:jc w:val="center"/>
            </w:pPr>
            <w:r>
              <w:rPr>
                <w:b/>
                <w:color w:val="FFFFFF"/>
                <w:sz w:val="18"/>
              </w:rPr>
              <w:t>Avg Revenue (₹)</w:t>
            </w:r>
          </w:p>
        </w:tc>
        <w:tc>
          <w:tcPr>
            <w:tcW w:w="2436" w:type="dxa"/>
            <w:shd w:val="clear" w:color="auto" w:fill="1F497D"/>
          </w:tcPr>
          <w:p w14:paraId="001002A0" w14:textId="001002A1">
            <w:pPr>
              <w:jc w:val="center"/>
            </w:pPr>
            <w:r>
              <w:rPr>
                <w:b/>
                <w:color w:val="FFFFFF"/>
                <w:sz w:val="18"/>
              </w:rPr>
              <w:t>Purchase Rate (%)</w:t>
            </w:r>
          </w:p>
        </w:tc>
      </w:tr>
      <w:tr>
        <w:tc>
          <w:tcPr>
            <w:tcW w:w="2436" w:type="dxa"/>
            <w:shd w:val="clear" w:color="auto" w:fill="EBF3FB"/>
          </w:tcPr>
          <w:p w14:paraId="001002A2" w14:textId="001002A3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436" w:type="dxa"/>
            <w:shd w:val="clear" w:color="auto" w:fill="EBF3FB"/>
          </w:tcPr>
          <w:p w14:paraId="001002A4" w14:textId="001002A5">
            <w:pPr>
              <w:jc w:val="center"/>
            </w:pPr>
            <w:r>
              <w:rPr>
                <w:sz w:val="18"/>
              </w:rPr>
              <w:t>262</w:t>
            </w:r>
          </w:p>
        </w:tc>
        <w:tc>
          <w:tcPr>
            <w:tcW w:w="2436" w:type="dxa"/>
            <w:shd w:val="clear" w:color="auto" w:fill="EBF3FB"/>
          </w:tcPr>
          <w:p w14:paraId="001002A6" w14:textId="001002A7">
            <w:pPr>
              <w:jc w:val="center"/>
            </w:pPr>
            <w:r>
              <w:rPr>
                <w:sz w:val="18"/>
              </w:rPr>
              <w:t>1,848.08</w:t>
            </w:r>
          </w:p>
        </w:tc>
        <w:tc>
          <w:tcPr>
            <w:tcW w:w="2436" w:type="dxa"/>
            <w:shd w:val="clear" w:color="auto" w:fill="EBF3FB"/>
          </w:tcPr>
          <w:p w14:paraId="001002A8" w14:textId="001002A9">
            <w:pPr>
              <w:jc w:val="center"/>
            </w:pPr>
            <w:r>
              <w:rPr>
                <w:sz w:val="18"/>
              </w:rPr>
              <w:t>100.00</w:t>
            </w:r>
          </w:p>
        </w:tc>
      </w:tr>
      <w:tr>
        <w:tc>
          <w:tcPr>
            <w:tcW w:w="2436" w:type="dxa"/>
            <w:shd w:val="clear" w:color="auto" w:fill="FFFFFF"/>
          </w:tcPr>
          <w:p w14:paraId="001002AA" w14:textId="001002AB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436" w:type="dxa"/>
            <w:shd w:val="clear" w:color="auto" w:fill="FFFFFF"/>
          </w:tcPr>
          <w:p w14:paraId="001002AC" w14:textId="001002AD">
            <w:pPr>
              <w:jc w:val="center"/>
            </w:pPr>
            <w:r>
              <w:rPr>
                <w:sz w:val="18"/>
              </w:rPr>
              <w:t>551</w:t>
            </w:r>
          </w:p>
        </w:tc>
        <w:tc>
          <w:tcPr>
            <w:tcW w:w="2436" w:type="dxa"/>
            <w:shd w:val="clear" w:color="auto" w:fill="FFFFFF"/>
          </w:tcPr>
          <w:p w14:paraId="001002AE" w14:textId="001002AF">
            <w:pPr>
              <w:jc w:val="center"/>
            </w:pPr>
            <w:r>
              <w:rPr>
                <w:sz w:val="18"/>
              </w:rPr>
              <w:t>1,883.67</w:t>
            </w:r>
          </w:p>
        </w:tc>
        <w:tc>
          <w:tcPr>
            <w:tcW w:w="2436" w:type="dxa"/>
            <w:shd w:val="clear" w:color="auto" w:fill="FFFFFF"/>
          </w:tcPr>
          <w:p w14:paraId="001002B0" w14:textId="001002B1">
            <w:pPr>
              <w:jc w:val="center"/>
            </w:pPr>
            <w:r>
              <w:rPr>
                <w:sz w:val="18"/>
              </w:rPr>
              <w:t>100.00</w:t>
            </w:r>
          </w:p>
        </w:tc>
      </w:tr>
      <w:tr>
        <w:tc>
          <w:tcPr>
            <w:tcW w:w="2436" w:type="dxa"/>
            <w:shd w:val="clear" w:color="auto" w:fill="EBF3FB"/>
          </w:tcPr>
          <w:p w14:paraId="001002B2" w14:textId="001002B3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436" w:type="dxa"/>
            <w:shd w:val="clear" w:color="auto" w:fill="EBF3FB"/>
          </w:tcPr>
          <w:p w14:paraId="001002B4" w14:textId="001002B5">
            <w:pPr>
              <w:jc w:val="center"/>
            </w:pPr>
            <w:r>
              <w:rPr>
                <w:sz w:val="18"/>
              </w:rPr>
              <w:t>1,110</w:t>
            </w:r>
          </w:p>
        </w:tc>
        <w:tc>
          <w:tcPr>
            <w:tcW w:w="2436" w:type="dxa"/>
            <w:shd w:val="clear" w:color="auto" w:fill="EBF3FB"/>
          </w:tcPr>
          <w:p w14:paraId="001002B6" w14:textId="001002B7">
            <w:pPr>
              <w:jc w:val="center"/>
            </w:pPr>
            <w:r>
              <w:rPr>
                <w:sz w:val="18"/>
              </w:rPr>
              <w:t>1,851.33</w:t>
            </w:r>
          </w:p>
        </w:tc>
        <w:tc>
          <w:tcPr>
            <w:tcW w:w="2436" w:type="dxa"/>
            <w:shd w:val="clear" w:color="auto" w:fill="EBF3FB"/>
          </w:tcPr>
          <w:p w14:paraId="001002B8" w14:textId="001002B9">
            <w:pPr>
              <w:jc w:val="center"/>
            </w:pPr>
            <w:r>
              <w:rPr>
                <w:sz w:val="18"/>
              </w:rPr>
              <w:t>100.00</w:t>
            </w:r>
          </w:p>
        </w:tc>
      </w:tr>
      <w:tr>
        <w:tc>
          <w:tcPr>
            <w:tcW w:w="2436" w:type="dxa"/>
            <w:shd w:val="clear" w:color="auto" w:fill="FFFFFF"/>
          </w:tcPr>
          <w:p w14:paraId="001002BA" w14:textId="001002BB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436" w:type="dxa"/>
            <w:shd w:val="clear" w:color="auto" w:fill="FFFFFF"/>
          </w:tcPr>
          <w:p w14:paraId="001002BC" w14:textId="001002BD">
            <w:pPr>
              <w:jc w:val="center"/>
            </w:pPr>
            <w:r>
              <w:rPr>
                <w:sz w:val="18"/>
              </w:rPr>
              <w:t>21,379</w:t>
            </w:r>
          </w:p>
        </w:tc>
        <w:tc>
          <w:tcPr>
            <w:tcW w:w="2436" w:type="dxa"/>
            <w:shd w:val="clear" w:color="auto" w:fill="FFFFFF"/>
          </w:tcPr>
          <w:p w14:paraId="001002BE" w14:textId="001002BF">
            <w:pPr>
              <w:jc w:val="center"/>
            </w:pPr>
            <w:r>
              <w:rPr>
                <w:sz w:val="18"/>
              </w:rPr>
              <w:t>166.31</w:t>
            </w:r>
          </w:p>
        </w:tc>
        <w:tc>
          <w:tcPr>
            <w:tcW w:w="2436" w:type="dxa"/>
            <w:shd w:val="clear" w:color="auto" w:fill="FFFFFF"/>
          </w:tcPr>
          <w:p w14:paraId="001002C0" w14:textId="001002C1">
            <w:pPr>
              <w:jc w:val="center"/>
            </w:pPr>
            <w:r>
              <w:rPr>
                <w:sz w:val="18"/>
              </w:rPr>
              <w:t>9.33</w:t>
            </w:r>
          </w:p>
        </w:tc>
      </w:tr>
      <w:tr>
        <w:tc>
          <w:tcPr>
            <w:tcW w:w="2436" w:type="dxa"/>
            <w:shd w:val="clear" w:color="auto" w:fill="EBF3FB"/>
          </w:tcPr>
          <w:p w14:paraId="001002C2" w14:textId="001002C3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2436" w:type="dxa"/>
            <w:shd w:val="clear" w:color="auto" w:fill="EBF3FB"/>
          </w:tcPr>
          <w:p w14:paraId="001002C4" w14:textId="001002C5">
            <w:pPr>
              <w:jc w:val="center"/>
            </w:pPr>
            <w:r>
              <w:rPr>
                <w:sz w:val="18"/>
              </w:rPr>
              <w:t>1,698</w:t>
            </w:r>
          </w:p>
        </w:tc>
        <w:tc>
          <w:tcPr>
            <w:tcW w:w="2436" w:type="dxa"/>
            <w:shd w:val="clear" w:color="auto" w:fill="EBF3FB"/>
          </w:tcPr>
          <w:p w14:paraId="001002C6" w14:textId="001002C7">
            <w:pPr>
              <w:jc w:val="center"/>
            </w:pPr>
            <w:r>
              <w:rPr>
                <w:sz w:val="18"/>
              </w:rPr>
              <w:t>1,757.10</w:t>
            </w:r>
          </w:p>
        </w:tc>
        <w:tc>
          <w:tcPr>
            <w:tcW w:w="2436" w:type="dxa"/>
            <w:shd w:val="clear" w:color="auto" w:fill="EBF3FB"/>
          </w:tcPr>
          <w:p w14:paraId="001002C8" w14:textId="001002C9">
            <w:pPr>
              <w:jc w:val="center"/>
            </w:pPr>
            <w:r>
              <w:rPr>
                <w:sz w:val="18"/>
              </w:rPr>
              <w:t>100.00</w:t>
            </w:r>
          </w:p>
        </w:tc>
      </w:tr>
    </w:tbl>
    <w:p w14:paraId="001002CA" w14:textId="001002CB">
      <w:pPr>
        <w:spacing w:after="160"/>
      </w:pPr>
    </w:p>
    <w:p w14:paraId="001002CC" w14:textId="001002CD">
      <w:pPr>
        <w:spacing w:before="0" w:after="160"/>
        <w:jc w:val="left"/>
      </w:pPr>
      <w:r>
        <w:rPr>
          <w:b w:val="0"/>
          <w:i w:val="0"/>
          <w:sz w:val="20"/>
        </w:rPr>
        <w:t>Rating 4 dominates the dataset (85.5%). Ratings 1–3 and 5 show 100% purchase rate — these represent purchased sessions with genuine reviews. Rating 4 sessions include many non-purchase browsing events.</w:t>
      </w:r>
    </w:p>
    <w:p w14:paraId="001002CE" w14:textId="001002CF">
      <w:pPr>
        <w:pBdr>
          <w:bottom w:val="single" w:color="2E74B5" w:sz="6" w:space="1"/>
        </w:pBdr>
        <w:spacing w:after="200"/>
      </w:pPr>
    </w:p>
    <w:p w14:paraId="001002D0" w14:textId="001002D1">
      <w:pPr>
        <w:pStyle w:val="Heading1"/>
        <w:spacing w:before="240" w:after="120"/>
      </w:pPr>
      <w:r>
        <w:rPr>
          <w:color w:val="1F497D"/>
          <w:sz w:val="28"/>
        </w:rPr>
        <w:t>17.  Geographic Analysis</w:t>
      </w:r>
    </w:p>
    <w:p w14:paraId="001002D2" w14:textId="001002D3"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238149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22_out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14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1002D4" w14:textId="001002D5">
      <w:pPr>
        <w:spacing w:after="200"/>
        <w:jc w:val="center"/>
      </w:pPr>
      <w:r>
        <w:rPr>
          <w:i/>
          <w:color w:val="646464"/>
          <w:sz w:val="18"/>
        </w:rPr>
        <w:t>Figure 15 — Top 15 Locations by Revenue (left) and Top 15 by Sessions (right)</w:t>
      </w:r>
    </w:p>
    <w:p w14:paraId="001002D6" w14:textId="001002D7">
      <w:pPr>
        <w:spacing w:before="0" w:after="160"/>
        <w:jc w:val="left"/>
      </w:pPr>
      <w:r>
        <w:rPr>
          <w:b w:val="0"/>
          <w:i w:val="0"/>
          <w:sz w:val="20"/>
        </w:rPr>
        <w:t>Approximately 20 out of 216 locations account for 40%+ of total revenue — consistent with the Pareto principle. High-session but low-conversion locations represent UX localisation opportunities.</w:t>
      </w:r>
    </w:p>
    <w:p w14:paraId="001002D8" w14:textId="001002D9">
      <w:pPr>
        <w:pBdr>
          <w:bottom w:val="single" w:color="2E74B5" w:sz="6" w:space="1"/>
        </w:pBdr>
        <w:spacing w:after="200"/>
      </w:pPr>
    </w:p>
    <w:p w14:paraId="001002DA" w14:textId="001002DB">
      <w:pPr>
        <w:pStyle w:val="Heading1"/>
        <w:spacing w:before="240" w:after="120"/>
      </w:pPr>
      <w:r>
        <w:rPr>
          <w:color w:val="1F497D"/>
          <w:sz w:val="28"/>
        </w:rPr>
        <w:t>18.  Machine Learning — Purchase Prediction</w:t>
      </w:r>
    </w:p>
    <w:p w14:paraId="001002DC" w14:textId="001002DD">
      <w:pPr>
        <w:pStyle w:val="Heading2"/>
        <w:spacing w:before="120" w:after="120"/>
      </w:pPr>
      <w:r>
        <w:rPr>
          <w:color w:val="2E74B5"/>
          <w:sz w:val="24"/>
        </w:rPr>
        <w:t>18.1  Model Performance Comparison</w:t>
      </w:r>
    </w:p>
    <w:p w14:paraId="001002DE" w14:textId="001002DF"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03025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27_out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3025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1002E0" w14:textId="001002E1">
      <w:pPr>
        <w:spacing w:after="200"/>
        <w:jc w:val="center"/>
      </w:pPr>
      <w:r>
        <w:rPr>
          <w:i/>
          <w:color w:val="646464"/>
          <w:sz w:val="18"/>
        </w:rPr>
        <w:t>Figure 16 — Model Accuracy and ROC-AUC Score Comparison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>
        <w:tc>
          <w:tcPr>
            <w:tcW w:w="2436" w:type="dxa"/>
            <w:shd w:val="clear" w:color="auto" w:fill="1F497D"/>
          </w:tcPr>
          <w:p w14:paraId="001002E2" w14:textId="001002E3">
            <w:pPr>
              <w:jc w:val="center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w="2436" w:type="dxa"/>
            <w:shd w:val="clear" w:color="auto" w:fill="1F497D"/>
          </w:tcPr>
          <w:p w14:paraId="001002E4" w14:textId="001002E5">
            <w:pPr>
              <w:jc w:val="center"/>
            </w:pPr>
            <w:r>
              <w:rPr>
                <w:b/>
                <w:color w:val="FFFFFF"/>
                <w:sz w:val="18"/>
              </w:rPr>
              <w:t>Accuracy</w:t>
            </w:r>
          </w:p>
        </w:tc>
        <w:tc>
          <w:tcPr>
            <w:tcW w:w="2436" w:type="dxa"/>
            <w:shd w:val="clear" w:color="auto" w:fill="1F497D"/>
          </w:tcPr>
          <w:p w14:paraId="001002E6" w14:textId="001002E7">
            <w:pPr>
              <w:jc w:val="center"/>
            </w:pPr>
            <w:r>
              <w:rPr>
                <w:b/>
                <w:color w:val="FFFFFF"/>
                <w:sz w:val="18"/>
              </w:rPr>
              <w:t>ROC-AUC</w:t>
            </w:r>
          </w:p>
        </w:tc>
        <w:tc>
          <w:tcPr>
            <w:tcW w:w="2436" w:type="dxa"/>
            <w:shd w:val="clear" w:color="auto" w:fill="1F497D"/>
          </w:tcPr>
          <w:p w14:paraId="001002E8" w14:textId="001002E9">
            <w:pPr>
              <w:jc w:val="center"/>
            </w:pPr>
            <w:r>
              <w:rPr>
                <w:b/>
                <w:color w:val="FFFFFF"/>
                <w:sz w:val="18"/>
              </w:rPr>
              <w:t>Training Type</w:t>
            </w:r>
          </w:p>
        </w:tc>
      </w:tr>
      <w:tr>
        <w:tc>
          <w:tcPr>
            <w:tcW w:w="2436" w:type="dxa"/>
            <w:shd w:val="clear" w:color="auto" w:fill="EBF3FB"/>
          </w:tcPr>
          <w:p w14:paraId="001002EA" w14:textId="001002EB">
            <w:pPr>
              <w:jc w:val="center"/>
            </w:pPr>
            <w:r>
              <w:rPr>
                <w:sz w:val="18"/>
              </w:rPr>
              <w:t>Logistic Regression</w:t>
            </w:r>
          </w:p>
        </w:tc>
        <w:tc>
          <w:tcPr>
            <w:tcW w:w="2436" w:type="dxa"/>
            <w:shd w:val="clear" w:color="auto" w:fill="EBF3FB"/>
          </w:tcPr>
          <w:p w14:paraId="001002EC" w14:textId="001002ED">
            <w:pPr>
              <w:jc w:val="center"/>
            </w:pPr>
            <w:r>
              <w:rPr>
                <w:sz w:val="18"/>
              </w:rPr>
              <w:t>98.88%</w:t>
            </w:r>
          </w:p>
        </w:tc>
        <w:tc>
          <w:tcPr>
            <w:tcW w:w="2436" w:type="dxa"/>
            <w:shd w:val="clear" w:color="auto" w:fill="EBF3FB"/>
          </w:tcPr>
          <w:p w14:paraId="001002EE" w14:textId="001002EF">
            <w:pPr>
              <w:jc w:val="center"/>
            </w:pPr>
            <w:r>
              <w:rPr>
                <w:sz w:val="18"/>
              </w:rPr>
              <w:t>0.9942</w:t>
            </w:r>
          </w:p>
        </w:tc>
        <w:tc>
          <w:tcPr>
            <w:tcW w:w="2436" w:type="dxa"/>
            <w:shd w:val="clear" w:color="auto" w:fill="EBF3FB"/>
          </w:tcPr>
          <w:p w14:paraId="001002F0" w14:textId="001002F1">
            <w:pPr>
              <w:jc w:val="center"/>
            </w:pPr>
            <w:r>
              <w:rPr>
                <w:sz w:val="18"/>
              </w:rPr>
              <w:t>Linear (with StandardScaler)</w:t>
            </w:r>
          </w:p>
        </w:tc>
      </w:tr>
      <w:tr>
        <w:tc>
          <w:tcPr>
            <w:tcW w:w="2436" w:type="dxa"/>
            <w:shd w:val="clear" w:color="auto" w:fill="FFFFFF"/>
          </w:tcPr>
          <w:p w14:paraId="001002F2" w14:textId="001002F3">
            <w:pPr>
              <w:jc w:val="center"/>
            </w:pPr>
            <w:r>
              <w:rPr>
                <w:sz w:val="18"/>
              </w:rPr>
              <w:t>Random Forest</w:t>
            </w:r>
          </w:p>
        </w:tc>
        <w:tc>
          <w:tcPr>
            <w:tcW w:w="2436" w:type="dxa"/>
            <w:shd w:val="clear" w:color="auto" w:fill="FFFFFF"/>
          </w:tcPr>
          <w:p w14:paraId="001002F4" w14:textId="001002F5">
            <w:pPr>
              <w:jc w:val="center"/>
            </w:pPr>
            <w:r>
              <w:rPr>
                <w:sz w:val="18"/>
              </w:rPr>
              <w:t>99.80%</w:t>
            </w:r>
          </w:p>
        </w:tc>
        <w:tc>
          <w:tcPr>
            <w:tcW w:w="2436" w:type="dxa"/>
            <w:shd w:val="clear" w:color="auto" w:fill="FFFFFF"/>
          </w:tcPr>
          <w:p w14:paraId="001002F6" w14:textId="001002F7">
            <w:pPr>
              <w:jc w:val="center"/>
            </w:pPr>
            <w:r>
              <w:rPr>
                <w:sz w:val="18"/>
              </w:rPr>
              <w:t>0.9975</w:t>
            </w:r>
          </w:p>
        </w:tc>
        <w:tc>
          <w:tcPr>
            <w:tcW w:w="2436" w:type="dxa"/>
            <w:shd w:val="clear" w:color="auto" w:fill="FFFFFF"/>
          </w:tcPr>
          <w:p w14:paraId="001002F8" w14:textId="001002F9">
            <w:pPr>
              <w:jc w:val="center"/>
            </w:pPr>
            <w:r>
              <w:rPr>
                <w:sz w:val="18"/>
              </w:rPr>
              <w:t>Ensemble — Bagging  ✅ BEST</w:t>
            </w:r>
          </w:p>
        </w:tc>
      </w:tr>
      <w:tr>
        <w:tc>
          <w:tcPr>
            <w:tcW w:w="2436" w:type="dxa"/>
            <w:shd w:val="clear" w:color="auto" w:fill="EBF3FB"/>
          </w:tcPr>
          <w:p w14:paraId="001002FA" w14:textId="001002FB">
            <w:pPr>
              <w:jc w:val="center"/>
            </w:pPr>
            <w:r>
              <w:rPr>
                <w:sz w:val="18"/>
              </w:rPr>
              <w:t>Gradient Boosting</w:t>
            </w:r>
          </w:p>
        </w:tc>
        <w:tc>
          <w:tcPr>
            <w:tcW w:w="2436" w:type="dxa"/>
            <w:shd w:val="clear" w:color="auto" w:fill="EBF3FB"/>
          </w:tcPr>
          <w:p w14:paraId="001002FC" w14:textId="001002FD">
            <w:pPr>
              <w:jc w:val="center"/>
            </w:pPr>
            <w:r>
              <w:rPr>
                <w:sz w:val="18"/>
              </w:rPr>
              <w:t>99.72%</w:t>
            </w:r>
          </w:p>
        </w:tc>
        <w:tc>
          <w:tcPr>
            <w:tcW w:w="2436" w:type="dxa"/>
            <w:shd w:val="clear" w:color="auto" w:fill="EBF3FB"/>
          </w:tcPr>
          <w:p w14:paraId="001002FE" w14:textId="001002FF">
            <w:pPr>
              <w:jc w:val="center"/>
            </w:pPr>
            <w:r>
              <w:rPr>
                <w:sz w:val="18"/>
              </w:rPr>
              <w:t>0.9971</w:t>
            </w:r>
          </w:p>
        </w:tc>
        <w:tc>
          <w:tcPr>
            <w:tcW w:w="2436" w:type="dxa"/>
            <w:shd w:val="clear" w:color="auto" w:fill="EBF3FB"/>
          </w:tcPr>
          <w:p w14:paraId="00100300" w14:textId="00100301">
            <w:pPr>
              <w:jc w:val="center"/>
            </w:pPr>
            <w:r>
              <w:rPr>
                <w:sz w:val="18"/>
              </w:rPr>
              <w:t>Ensemble — Boosting</w:t>
            </w:r>
          </w:p>
        </w:tc>
      </w:tr>
    </w:tbl>
    <w:p w14:paraId="00100302" w14:textId="00100303">
      <w:pPr>
        <w:spacing w:after="160"/>
      </w:pPr>
    </w:p>
    <w:p w14:paraId="00100304" w14:textId="00100305">
      <w:pPr>
        <w:pStyle w:val="Heading2"/>
        <w:spacing w:before="120" w:after="120"/>
      </w:pPr>
      <w:r>
        <w:rPr>
          <w:color w:val="2E74B5"/>
          <w:sz w:val="24"/>
        </w:rPr>
        <w:t>18.2  Confusion Matrices</w:t>
      </w:r>
    </w:p>
    <w:p w14:paraId="00100306" w14:textId="00100307"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165600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28_out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5600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100308" w14:textId="00100309">
      <w:pPr>
        <w:spacing w:after="200"/>
        <w:jc w:val="center"/>
      </w:pPr>
      <w:r>
        <w:rPr>
          <w:i/>
          <w:color w:val="646464"/>
          <w:sz w:val="18"/>
        </w:rPr>
        <w:t>Figure 17 — Confusion Matrices for all three models (test set: 5,000 sessions)</w:t>
      </w:r>
    </w:p>
    <w:p w14:paraId="0010030A" w14:textId="0010030B">
      <w:pPr>
        <w:pStyle w:val="Heading2"/>
        <w:spacing w:before="120" w:after="120"/>
      </w:pPr>
      <w:r>
        <w:rPr>
          <w:color w:val="2E74B5"/>
          <w:sz w:val="24"/>
        </w:rPr>
        <w:t>18.3  ROC Curves</w:t>
      </w:r>
    </w:p>
    <w:p w14:paraId="0010030C" w14:textId="0010030D"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4572000" cy="353290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29_out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3290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10030E" w14:textId="0010030F">
      <w:pPr>
        <w:spacing w:after="200"/>
        <w:jc w:val="center"/>
      </w:pPr>
      <w:r>
        <w:rPr>
          <w:i/>
          <w:color w:val="646464"/>
          <w:sz w:val="18"/>
        </w:rPr>
        <w:t>Figure 18 — ROC Curves: all models achieve AUC &gt; 0.99</w:t>
      </w:r>
    </w:p>
    <w:p w14:paraId="00100310" w14:textId="00100311">
      <w:pPr>
        <w:pStyle w:val="Heading2"/>
        <w:spacing w:before="120" w:after="120"/>
      </w:pPr>
      <w:r>
        <w:rPr>
          <w:color w:val="2E74B5"/>
          <w:sz w:val="24"/>
        </w:rPr>
        <w:t>18.4  Feature Importance (Random Forest)</w:t>
      </w:r>
    </w:p>
    <w:p w14:paraId="00100312" w14:textId="00100313"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49261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ll30_out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9261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100314" w14:textId="00100315">
      <w:pPr>
        <w:spacing w:after="200"/>
        <w:jc w:val="center"/>
      </w:pPr>
      <w:r>
        <w:rPr>
          <w:i/>
          <w:color w:val="646464"/>
          <w:sz w:val="18"/>
        </w:rPr>
        <w:t>Figure 19 — Top 15 Feature Importances from Random Forest</w:t>
      </w:r>
    </w:p>
    <w:p w14:paraId="00100316" w14:textId="00100317">
      <w:pPr>
        <w:spacing w:before="0" w:after="120"/>
        <w:jc w:val="left"/>
      </w:pPr>
      <w:r>
        <w:rPr>
          <w:b w:val="0"/>
          <w:i w:val="0"/>
          <w:sz w:val="20"/>
        </w:rPr>
        <w:t>Top predictors: added_to_cart (strongest signal), time_on_site_sec, pages_viewed, unit_price, quantity, discount_percent, marketing_channel, payment_method.</w:t>
      </w:r>
    </w:p>
    <w:p w14:paraId="00100318" w14:textId="00100319">
      <w:pPr>
        <w:pStyle w:val="Heading2"/>
        <w:spacing w:before="120" w:after="120"/>
      </w:pPr>
      <w:r>
        <w:rPr>
          <w:color w:val="2E74B5"/>
          <w:sz w:val="24"/>
        </w:rPr>
        <w:t>18.5  Classification Report — Random Forest (Best Model)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w="1949" w:type="dxa"/>
            <w:shd w:val="clear" w:color="auto" w:fill="1F497D"/>
          </w:tcPr>
          <w:p w14:paraId="0010031A" w14:textId="0010031B">
            <w:pPr>
              <w:jc w:val="center"/>
            </w:pPr>
            <w:r>
              <w:rPr>
                <w:b/>
                <w:color w:val="FFFFFF"/>
                <w:sz w:val="18"/>
              </w:rPr>
              <w:t>Class</w:t>
            </w:r>
          </w:p>
        </w:tc>
        <w:tc>
          <w:tcPr>
            <w:tcW w:w="1949" w:type="dxa"/>
            <w:shd w:val="clear" w:color="auto" w:fill="1F497D"/>
          </w:tcPr>
          <w:p w14:paraId="0010031C" w14:textId="0010031D">
            <w:pPr>
              <w:jc w:val="center"/>
            </w:pPr>
            <w:r>
              <w:rPr>
                <w:b/>
                <w:color w:val="FFFFFF"/>
                <w:sz w:val="18"/>
              </w:rPr>
              <w:t>Precision</w:t>
            </w:r>
          </w:p>
        </w:tc>
        <w:tc>
          <w:tcPr>
            <w:tcW w:w="1949" w:type="dxa"/>
            <w:shd w:val="clear" w:color="auto" w:fill="1F497D"/>
          </w:tcPr>
          <w:p w14:paraId="0010031E" w14:textId="0010031F">
            <w:pPr>
              <w:jc w:val="center"/>
            </w:pPr>
            <w:r>
              <w:rPr>
                <w:b/>
                <w:color w:val="FFFFFF"/>
                <w:sz w:val="18"/>
              </w:rPr>
              <w:t>Recall</w:t>
            </w:r>
          </w:p>
        </w:tc>
        <w:tc>
          <w:tcPr>
            <w:tcW w:w="1949" w:type="dxa"/>
            <w:shd w:val="clear" w:color="auto" w:fill="1F497D"/>
          </w:tcPr>
          <w:p w14:paraId="00100320" w14:textId="00100321">
            <w:pPr>
              <w:jc w:val="center"/>
            </w:pPr>
            <w:r>
              <w:rPr>
                <w:b/>
                <w:color w:val="FFFFFF"/>
                <w:sz w:val="18"/>
              </w:rPr>
              <w:t>F1-Score</w:t>
            </w:r>
          </w:p>
        </w:tc>
        <w:tc>
          <w:tcPr>
            <w:tcW w:w="1949" w:type="dxa"/>
            <w:shd w:val="clear" w:color="auto" w:fill="1F497D"/>
          </w:tcPr>
          <w:p w14:paraId="00100322" w14:textId="00100323">
            <w:pPr>
              <w:jc w:val="center"/>
            </w:pPr>
            <w:r>
              <w:rPr>
                <w:b/>
                <w:color w:val="FFFFFF"/>
                <w:sz w:val="18"/>
              </w:rPr>
              <w:t>Support</w:t>
            </w:r>
          </w:p>
        </w:tc>
      </w:tr>
      <w:tr>
        <w:tc>
          <w:tcPr>
            <w:tcW w:w="1949" w:type="dxa"/>
            <w:shd w:val="clear" w:color="auto" w:fill="EBF3FB"/>
          </w:tcPr>
          <w:p w14:paraId="00100324" w14:textId="00100325">
            <w:pPr>
              <w:jc w:val="center"/>
            </w:pPr>
            <w:r>
              <w:rPr>
                <w:sz w:val="18"/>
              </w:rPr>
              <w:t>Not Purchased</w:t>
            </w:r>
          </w:p>
        </w:tc>
        <w:tc>
          <w:tcPr>
            <w:tcW w:w="1949" w:type="dxa"/>
            <w:shd w:val="clear" w:color="auto" w:fill="EBF3FB"/>
          </w:tcPr>
          <w:p w14:paraId="00100326" w14:textId="00100327">
            <w:pPr>
              <w:jc w:val="center"/>
            </w:pPr>
            <w:r>
              <w:rPr>
                <w:sz w:val="18"/>
              </w:rPr>
              <w:t>1.00</w:t>
            </w:r>
          </w:p>
        </w:tc>
        <w:tc>
          <w:tcPr>
            <w:tcW w:w="1949" w:type="dxa"/>
            <w:shd w:val="clear" w:color="auto" w:fill="EBF3FB"/>
          </w:tcPr>
          <w:p w14:paraId="00100328" w14:textId="00100329">
            <w:pPr>
              <w:jc w:val="center"/>
            </w:pPr>
            <w:r>
              <w:rPr>
                <w:sz w:val="18"/>
              </w:rPr>
              <w:t>1.00</w:t>
            </w:r>
          </w:p>
        </w:tc>
        <w:tc>
          <w:tcPr>
            <w:tcW w:w="1949" w:type="dxa"/>
            <w:shd w:val="clear" w:color="auto" w:fill="EBF3FB"/>
          </w:tcPr>
          <w:p w14:paraId="0010032A" w14:textId="0010032B">
            <w:pPr>
              <w:jc w:val="center"/>
            </w:pPr>
            <w:r>
              <w:rPr>
                <w:sz w:val="18"/>
              </w:rPr>
              <w:t>1.00</w:t>
            </w:r>
          </w:p>
        </w:tc>
        <w:tc>
          <w:tcPr>
            <w:tcW w:w="1949" w:type="dxa"/>
            <w:shd w:val="clear" w:color="auto" w:fill="EBF3FB"/>
          </w:tcPr>
          <w:p w14:paraId="0010032C" w14:textId="0010032D">
            <w:pPr>
              <w:jc w:val="center"/>
            </w:pPr>
            <w:r>
              <w:rPr>
                <w:sz w:val="18"/>
              </w:rPr>
              <w:t>3,877</w:t>
            </w:r>
          </w:p>
        </w:tc>
      </w:tr>
      <w:tr>
        <w:tc>
          <w:tcPr>
            <w:tcW w:w="1949" w:type="dxa"/>
            <w:shd w:val="clear" w:color="auto" w:fill="FFFFFF"/>
          </w:tcPr>
          <w:p w14:paraId="0010032E" w14:textId="0010032F">
            <w:pPr>
              <w:jc w:val="center"/>
            </w:pPr>
            <w:r>
              <w:rPr>
                <w:sz w:val="18"/>
              </w:rPr>
              <w:t>Purchased</w:t>
            </w:r>
          </w:p>
        </w:tc>
        <w:tc>
          <w:tcPr>
            <w:tcW w:w="1949" w:type="dxa"/>
            <w:shd w:val="clear" w:color="auto" w:fill="FFFFFF"/>
          </w:tcPr>
          <w:p w14:paraId="00100330" w14:textId="00100331">
            <w:pPr>
              <w:jc w:val="center"/>
            </w:pPr>
            <w:r>
              <w:rPr>
                <w:sz w:val="18"/>
              </w:rPr>
              <w:t>1.00</w:t>
            </w:r>
          </w:p>
        </w:tc>
        <w:tc>
          <w:tcPr>
            <w:tcW w:w="1949" w:type="dxa"/>
            <w:shd w:val="clear" w:color="auto" w:fill="FFFFFF"/>
          </w:tcPr>
          <w:p w14:paraId="00100332" w14:textId="00100333">
            <w:pPr>
              <w:jc w:val="center"/>
            </w:pPr>
            <w:r>
              <w:rPr>
                <w:sz w:val="18"/>
              </w:rPr>
              <w:t>0.99</w:t>
            </w:r>
          </w:p>
        </w:tc>
        <w:tc>
          <w:tcPr>
            <w:tcW w:w="1949" w:type="dxa"/>
            <w:shd w:val="clear" w:color="auto" w:fill="FFFFFF"/>
          </w:tcPr>
          <w:p w14:paraId="00100334" w14:textId="00100335">
            <w:pPr>
              <w:jc w:val="center"/>
            </w:pPr>
            <w:r>
              <w:rPr>
                <w:sz w:val="18"/>
              </w:rPr>
              <w:t>1.00</w:t>
            </w:r>
          </w:p>
        </w:tc>
        <w:tc>
          <w:tcPr>
            <w:tcW w:w="1949" w:type="dxa"/>
            <w:shd w:val="clear" w:color="auto" w:fill="FFFFFF"/>
          </w:tcPr>
          <w:p w14:paraId="00100336" w14:textId="00100337">
            <w:pPr>
              <w:jc w:val="center"/>
            </w:pPr>
            <w:r>
              <w:rPr>
                <w:sz w:val="18"/>
              </w:rPr>
              <w:t>1,123</w:t>
            </w:r>
          </w:p>
        </w:tc>
      </w:tr>
      <w:tr>
        <w:tc>
          <w:tcPr>
            <w:tcW w:w="1949" w:type="dxa"/>
            <w:shd w:val="clear" w:color="auto" w:fill="EBF3FB"/>
          </w:tcPr>
          <w:p w14:paraId="00100338" w14:textId="00100339">
            <w:pPr>
              <w:jc w:val="center"/>
            </w:pPr>
            <w:r>
              <w:rPr>
                <w:sz w:val="18"/>
              </w:rPr>
              <w:t>Macro Avg</w:t>
            </w:r>
          </w:p>
        </w:tc>
        <w:tc>
          <w:tcPr>
            <w:tcW w:w="1949" w:type="dxa"/>
            <w:shd w:val="clear" w:color="auto" w:fill="EBF3FB"/>
          </w:tcPr>
          <w:p w14:paraId="0010033A" w14:textId="0010033B">
            <w:pPr>
              <w:jc w:val="center"/>
            </w:pPr>
            <w:r>
              <w:rPr>
                <w:sz w:val="18"/>
              </w:rPr>
              <w:t>1.00</w:t>
            </w:r>
          </w:p>
        </w:tc>
        <w:tc>
          <w:tcPr>
            <w:tcW w:w="1949" w:type="dxa"/>
            <w:shd w:val="clear" w:color="auto" w:fill="EBF3FB"/>
          </w:tcPr>
          <w:p w14:paraId="0010033C" w14:textId="0010033D">
            <w:pPr>
              <w:jc w:val="center"/>
            </w:pPr>
            <w:r>
              <w:rPr>
                <w:sz w:val="18"/>
              </w:rPr>
              <w:t>1.00</w:t>
            </w:r>
          </w:p>
        </w:tc>
        <w:tc>
          <w:tcPr>
            <w:tcW w:w="1949" w:type="dxa"/>
            <w:shd w:val="clear" w:color="auto" w:fill="EBF3FB"/>
          </w:tcPr>
          <w:p w14:paraId="0010033E" w14:textId="0010033F">
            <w:pPr>
              <w:jc w:val="center"/>
            </w:pPr>
            <w:r>
              <w:rPr>
                <w:sz w:val="18"/>
              </w:rPr>
              <w:t>1.00</w:t>
            </w:r>
          </w:p>
        </w:tc>
        <w:tc>
          <w:tcPr>
            <w:tcW w:w="1949" w:type="dxa"/>
            <w:shd w:val="clear" w:color="auto" w:fill="EBF3FB"/>
          </w:tcPr>
          <w:p w14:paraId="00100340" w14:textId="00100341">
            <w:pPr>
              <w:jc w:val="center"/>
            </w:pPr>
            <w:r>
              <w:rPr>
                <w:sz w:val="18"/>
              </w:rPr>
              <w:t>5,000</w:t>
            </w:r>
          </w:p>
        </w:tc>
      </w:tr>
      <w:tr>
        <w:tc>
          <w:tcPr>
            <w:tcW w:w="1949" w:type="dxa"/>
            <w:shd w:val="clear" w:color="auto" w:fill="FFFFFF"/>
          </w:tcPr>
          <w:p w14:paraId="00100342" w14:textId="00100343">
            <w:pPr>
              <w:jc w:val="center"/>
            </w:pPr>
            <w:r>
              <w:rPr>
                <w:sz w:val="18"/>
              </w:rPr>
              <w:t>Weighted Avg</w:t>
            </w:r>
          </w:p>
        </w:tc>
        <w:tc>
          <w:tcPr>
            <w:tcW w:w="1949" w:type="dxa"/>
            <w:shd w:val="clear" w:color="auto" w:fill="FFFFFF"/>
          </w:tcPr>
          <w:p w14:paraId="00100344" w14:textId="00100345">
            <w:pPr>
              <w:jc w:val="center"/>
            </w:pPr>
            <w:r>
              <w:rPr>
                <w:sz w:val="18"/>
              </w:rPr>
              <w:t>1.00</w:t>
            </w:r>
          </w:p>
        </w:tc>
        <w:tc>
          <w:tcPr>
            <w:tcW w:w="1949" w:type="dxa"/>
            <w:shd w:val="clear" w:color="auto" w:fill="FFFFFF"/>
          </w:tcPr>
          <w:p w14:paraId="00100346" w14:textId="00100347">
            <w:pPr>
              <w:jc w:val="center"/>
            </w:pPr>
            <w:r>
              <w:rPr>
                <w:sz w:val="18"/>
              </w:rPr>
              <w:t>1.00</w:t>
            </w:r>
          </w:p>
        </w:tc>
        <w:tc>
          <w:tcPr>
            <w:tcW w:w="1949" w:type="dxa"/>
            <w:shd w:val="clear" w:color="auto" w:fill="FFFFFF"/>
          </w:tcPr>
          <w:p w14:paraId="00100348" w14:textId="00100349">
            <w:pPr>
              <w:jc w:val="center"/>
            </w:pPr>
            <w:r>
              <w:rPr>
                <w:sz w:val="18"/>
              </w:rPr>
              <w:t>1.00</w:t>
            </w:r>
          </w:p>
        </w:tc>
        <w:tc>
          <w:tcPr>
            <w:tcW w:w="1949" w:type="dxa"/>
            <w:shd w:val="clear" w:color="auto" w:fill="FFFFFF"/>
          </w:tcPr>
          <w:p w14:paraId="0010034A" w14:textId="0010034B">
            <w:pPr>
              <w:jc w:val="center"/>
            </w:pPr>
            <w:r>
              <w:rPr>
                <w:sz w:val="18"/>
              </w:rPr>
              <w:t>5,000</w:t>
            </w:r>
          </w:p>
        </w:tc>
      </w:tr>
    </w:tbl>
    <w:p w14:paraId="0010034C" w14:textId="0010034D">
      <w:pPr>
        <w:spacing w:after="160"/>
      </w:pPr>
    </w:p>
    <w:p w14:paraId="0010034E" w14:textId="0010034F">
      <w:pPr>
        <w:pBdr>
          <w:bottom w:val="single" w:color="2E74B5" w:sz="6" w:space="1"/>
        </w:pBdr>
        <w:spacing w:after="200"/>
      </w:pPr>
    </w:p>
    <w:p w14:paraId="00100350" w14:textId="00100351">
      <w:pPr>
        <w:pStyle w:val="Heading1"/>
        <w:spacing w:before="240" w:after="120"/>
      </w:pPr>
      <w:r>
        <w:rPr>
          <w:color w:val="1F497D"/>
          <w:sz w:val="28"/>
        </w:rPr>
        <w:t>19.  Key Findings &amp; Business Recommendations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>
        <w:tc>
          <w:tcPr>
            <w:tcW w:w="3249" w:type="dxa"/>
            <w:shd w:val="clear" w:color="auto" w:fill="1F497D"/>
          </w:tcPr>
          <w:p w14:paraId="00100352" w14:textId="00100353"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249" w:type="dxa"/>
            <w:shd w:val="clear" w:color="auto" w:fill="1F497D"/>
          </w:tcPr>
          <w:p w14:paraId="00100354" w14:textId="00100355">
            <w:pPr>
              <w:jc w:val="center"/>
            </w:pPr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w="3249" w:type="dxa"/>
            <w:shd w:val="clear" w:color="auto" w:fill="1F497D"/>
          </w:tcPr>
          <w:p w14:paraId="00100356" w14:textId="00100357">
            <w:pPr>
              <w:jc w:val="center"/>
            </w:pPr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w="3249" w:type="dxa"/>
            <w:shd w:val="clear" w:color="auto" w:fill="EBF3FB"/>
          </w:tcPr>
          <w:p w14:paraId="00100358" w14:textId="00100359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249" w:type="dxa"/>
            <w:shd w:val="clear" w:color="auto" w:fill="EBF3FB"/>
          </w:tcPr>
          <w:p w14:paraId="0010035A" w14:textId="0010035B">
            <w:pPr>
              <w:jc w:val="center"/>
            </w:pPr>
            <w:r>
              <w:rPr>
                <w:sz w:val="18"/>
              </w:rPr>
              <w:t>Cart abandonment rate is 42%</w:t>
            </w:r>
          </w:p>
        </w:tc>
        <w:tc>
          <w:tcPr>
            <w:tcW w:w="3249" w:type="dxa"/>
            <w:shd w:val="clear" w:color="auto" w:fill="EBF3FB"/>
          </w:tcPr>
          <w:p w14:paraId="0010035C" w14:textId="0010035D">
            <w:pPr>
              <w:jc w:val="center"/>
            </w:pPr>
            <w:r>
              <w:rPr>
                <w:sz w:val="18"/>
              </w:rPr>
              <w:t>Deploy email/push retargeting for abandoned carts</w:t>
            </w:r>
          </w:p>
        </w:tc>
      </w:tr>
      <w:tr>
        <w:tc>
          <w:tcPr>
            <w:tcW w:w="3249" w:type="dxa"/>
            <w:shd w:val="clear" w:color="auto" w:fill="FFFFFF"/>
          </w:tcPr>
          <w:p w14:paraId="0010035E" w14:textId="0010035F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3249" w:type="dxa"/>
            <w:shd w:val="clear" w:color="auto" w:fill="FFFFFF"/>
          </w:tcPr>
          <w:p w14:paraId="00100360" w14:textId="00100361">
            <w:pPr>
              <w:jc w:val="center"/>
            </w:pPr>
            <w:r>
              <w:rPr>
                <w:sz w:val="18"/>
              </w:rPr>
              <w:t>Mobile = 50.4% of sessions</w:t>
            </w:r>
          </w:p>
        </w:tc>
        <w:tc>
          <w:tcPr>
            <w:tcW w:w="3249" w:type="dxa"/>
            <w:shd w:val="clear" w:color="auto" w:fill="FFFFFF"/>
          </w:tcPr>
          <w:p w14:paraId="00100362" w14:textId="00100363">
            <w:pPr>
              <w:jc w:val="center"/>
            </w:pPr>
            <w:r>
              <w:rPr>
                <w:sz w:val="18"/>
              </w:rPr>
              <w:t>Invest in mobile UX &amp; one-click checkout</w:t>
            </w:r>
          </w:p>
        </w:tc>
      </w:tr>
      <w:tr>
        <w:tc>
          <w:tcPr>
            <w:tcW w:w="3249" w:type="dxa"/>
            <w:shd w:val="clear" w:color="auto" w:fill="EBF3FB"/>
          </w:tcPr>
          <w:p w14:paraId="00100364" w14:textId="00100365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3249" w:type="dxa"/>
            <w:shd w:val="clear" w:color="auto" w:fill="EBF3FB"/>
          </w:tcPr>
          <w:p w14:paraId="00100366" w14:textId="00100367">
            <w:pPr>
              <w:jc w:val="center"/>
            </w:pPr>
            <w:r>
              <w:rPr>
                <w:sz w:val="18"/>
              </w:rPr>
              <w:t>Autumn / Q4 peaks in revenue</w:t>
            </w:r>
          </w:p>
        </w:tc>
        <w:tc>
          <w:tcPr>
            <w:tcW w:w="3249" w:type="dxa"/>
            <w:shd w:val="clear" w:color="auto" w:fill="EBF3FB"/>
          </w:tcPr>
          <w:p w14:paraId="00100368" w14:textId="00100369">
            <w:pPr>
              <w:jc w:val="center"/>
            </w:pPr>
            <w:r>
              <w:rPr>
                <w:sz w:val="18"/>
              </w:rPr>
              <w:t>Align flash sales with festive season calendar</w:t>
            </w:r>
          </w:p>
        </w:tc>
      </w:tr>
      <w:tr>
        <w:tc>
          <w:tcPr>
            <w:tcW w:w="3249" w:type="dxa"/>
            <w:shd w:val="clear" w:color="auto" w:fill="FFFFFF"/>
          </w:tcPr>
          <w:p w14:paraId="0010036A" w14:textId="0010036B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3249" w:type="dxa"/>
            <w:shd w:val="clear" w:color="auto" w:fill="FFFFFF"/>
          </w:tcPr>
          <w:p w14:paraId="0010036C" w14:textId="0010036D">
            <w:pPr>
              <w:jc w:val="center"/>
            </w:pPr>
            <w:r>
              <w:rPr>
                <w:sz w:val="18"/>
              </w:rPr>
              <w:t>Discounts don't drive purchase alone</w:t>
            </w:r>
          </w:p>
        </w:tc>
        <w:tc>
          <w:tcPr>
            <w:tcW w:w="3249" w:type="dxa"/>
            <w:shd w:val="clear" w:color="auto" w:fill="FFFFFF"/>
          </w:tcPr>
          <w:p w14:paraId="0010036E" w14:textId="0010036F">
            <w:pPr>
              <w:jc w:val="center"/>
            </w:pPr>
            <w:r>
              <w:rPr>
                <w:sz w:val="18"/>
              </w:rPr>
              <w:t>Combine discounts with personalised recommendations</w:t>
            </w:r>
          </w:p>
        </w:tc>
      </w:tr>
      <w:tr>
        <w:tc>
          <w:tcPr>
            <w:tcW w:w="3249" w:type="dxa"/>
            <w:shd w:val="clear" w:color="auto" w:fill="EBF3FB"/>
          </w:tcPr>
          <w:p w14:paraId="00100370" w14:textId="00100371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3249" w:type="dxa"/>
            <w:shd w:val="clear" w:color="auto" w:fill="EBF3FB"/>
          </w:tcPr>
          <w:p w14:paraId="00100372" w14:textId="00100373">
            <w:pPr>
              <w:jc w:val="center"/>
            </w:pPr>
            <w:r>
              <w:rPr>
                <w:sz w:val="18"/>
              </w:rPr>
              <w:t>Direct channel has highest CVR (23.60%)</w:t>
            </w:r>
          </w:p>
        </w:tc>
        <w:tc>
          <w:tcPr>
            <w:tcW w:w="3249" w:type="dxa"/>
            <w:shd w:val="clear" w:color="auto" w:fill="EBF3FB"/>
          </w:tcPr>
          <w:p w14:paraId="00100374" w14:textId="00100375">
            <w:pPr>
              <w:jc w:val="center"/>
            </w:pPr>
            <w:r>
              <w:rPr>
                <w:sz w:val="18"/>
              </w:rPr>
              <w:t>Grow loyalty programme to increase direct traffic</w:t>
            </w:r>
          </w:p>
        </w:tc>
      </w:tr>
      <w:tr>
        <w:tc>
          <w:tcPr>
            <w:tcW w:w="3249" w:type="dxa"/>
            <w:shd w:val="clear" w:color="auto" w:fill="FFFFFF"/>
          </w:tcPr>
          <w:p w14:paraId="00100376" w14:textId="00100377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249" w:type="dxa"/>
            <w:shd w:val="clear" w:color="auto" w:fill="FFFFFF"/>
          </w:tcPr>
          <w:p w14:paraId="00100378" w14:textId="00100379">
            <w:pPr>
              <w:jc w:val="center"/>
            </w:pPr>
            <w:r>
              <w:rPr>
                <w:sz w:val="18"/>
              </w:rPr>
              <w:t>Returning users convert 38% better</w:t>
            </w:r>
          </w:p>
        </w:tc>
        <w:tc>
          <w:tcPr>
            <w:tcW w:w="3249" w:type="dxa"/>
            <w:shd w:val="clear" w:color="auto" w:fill="FFFFFF"/>
          </w:tcPr>
          <w:p w14:paraId="0010037A" w14:textId="0010037B">
            <w:pPr>
              <w:jc w:val="center"/>
            </w:pPr>
            <w:r>
              <w:rPr>
                <w:sz w:val="18"/>
              </w:rPr>
              <w:t>Build retention campaigns for new-to-returning conversion</w:t>
            </w:r>
          </w:p>
        </w:tc>
      </w:tr>
      <w:tr>
        <w:tc>
          <w:tcPr>
            <w:tcW w:w="3249" w:type="dxa"/>
            <w:shd w:val="clear" w:color="auto" w:fill="EBF3FB"/>
          </w:tcPr>
          <w:p w14:paraId="0010037C" w14:textId="0010037D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3249" w:type="dxa"/>
            <w:shd w:val="clear" w:color="auto" w:fill="EBF3FB"/>
          </w:tcPr>
          <w:p w14:paraId="0010037E" w14:textId="0010037F">
            <w:pPr>
              <w:jc w:val="center"/>
            </w:pPr>
            <w:r>
              <w:rPr>
                <w:sz w:val="18"/>
              </w:rPr>
              <w:t>Random Forest AUC = 0.9975</w:t>
            </w:r>
          </w:p>
        </w:tc>
        <w:tc>
          <w:tcPr>
            <w:tcW w:w="3249" w:type="dxa"/>
            <w:shd w:val="clear" w:color="auto" w:fill="EBF3FB"/>
          </w:tcPr>
          <w:p w14:paraId="00100380" w14:textId="00100381">
            <w:pPr>
              <w:jc w:val="center"/>
            </w:pPr>
            <w:r>
              <w:rPr>
                <w:sz w:val="18"/>
              </w:rPr>
              <w:t>Deploy real-time purchase-intent scorer at session start</w:t>
            </w:r>
          </w:p>
        </w:tc>
      </w:tr>
      <w:tr>
        <w:tc>
          <w:tcPr>
            <w:tcW w:w="3249" w:type="dxa"/>
            <w:shd w:val="clear" w:color="auto" w:fill="FFFFFF"/>
          </w:tcPr>
          <w:p w14:paraId="00100382" w14:textId="00100383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3249" w:type="dxa"/>
            <w:shd w:val="clear" w:color="auto" w:fill="FFFFFF"/>
          </w:tcPr>
          <w:p w14:paraId="00100384" w14:textId="00100385">
            <w:pPr>
              <w:jc w:val="center"/>
            </w:pPr>
            <w:r>
              <w:rPr>
                <w:sz w:val="18"/>
              </w:rPr>
              <w:t>Home &amp; Kitchen is top revenue category</w:t>
            </w:r>
          </w:p>
        </w:tc>
        <w:tc>
          <w:tcPr>
            <w:tcW w:w="3249" w:type="dxa"/>
            <w:shd w:val="clear" w:color="auto" w:fill="FFFFFF"/>
          </w:tcPr>
          <w:p w14:paraId="00100386" w14:textId="00100387">
            <w:pPr>
              <w:jc w:val="center"/>
            </w:pPr>
            <w:r>
              <w:rPr>
                <w:sz w:val="18"/>
              </w:rPr>
              <w:t>Prioritise inventory and promotions in this category</w:t>
            </w:r>
          </w:p>
        </w:tc>
      </w:tr>
      <w:tr>
        <w:tc>
          <w:tcPr>
            <w:tcW w:w="3249" w:type="dxa"/>
            <w:shd w:val="clear" w:color="auto" w:fill="EBF3FB"/>
          </w:tcPr>
          <w:p w14:paraId="00100388" w14:textId="00100389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3249" w:type="dxa"/>
            <w:shd w:val="clear" w:color="auto" w:fill="EBF3FB"/>
          </w:tcPr>
          <w:p w14:paraId="0010038A" w14:textId="0010038B">
            <w:pPr>
              <w:jc w:val="center"/>
            </w:pPr>
            <w:r>
              <w:rPr>
                <w:sz w:val="18"/>
              </w:rPr>
              <w:t>Toys has highest conversion rate (24.68%)</w:t>
            </w:r>
          </w:p>
        </w:tc>
        <w:tc>
          <w:tcPr>
            <w:tcW w:w="3249" w:type="dxa"/>
            <w:shd w:val="clear" w:color="auto" w:fill="EBF3FB"/>
          </w:tcPr>
          <w:p w14:paraId="0010038C" w14:textId="0010038D">
            <w:pPr>
              <w:jc w:val="center"/>
            </w:pPr>
            <w:r>
              <w:rPr>
                <w:sz w:val="18"/>
              </w:rPr>
              <w:t>Increase ad spend on Toys category campaigns</w:t>
            </w:r>
          </w:p>
        </w:tc>
      </w:tr>
    </w:tbl>
    <w:p w14:paraId="0010038E" w14:textId="0010038F">
      <w:pPr>
        <w:spacing w:after="160"/>
      </w:pPr>
    </w:p>
    <w:p w14:paraId="00100390" w14:textId="00100391">
      <w:pPr>
        <w:pBdr>
          <w:bottom w:val="single" w:color="2E74B5" w:sz="6" w:space="1"/>
        </w:pBdr>
        <w:spacing w:after="200"/>
      </w:pPr>
    </w:p>
    <w:p w14:paraId="00100392" w14:textId="00100393">
      <w:pPr>
        <w:pStyle w:val="Heading1"/>
        <w:spacing w:before="240" w:after="120"/>
      </w:pPr>
      <w:r>
        <w:rPr>
          <w:color w:val="1F497D"/>
          <w:sz w:val="28"/>
        </w:rPr>
        <w:t>20.  Conclusion</w:t>
      </w:r>
    </w:p>
    <w:p w14:paraId="00100394" w14:textId="00100395">
      <w:pPr>
        <w:spacing w:before="0" w:after="120"/>
        <w:jc w:val="left"/>
      </w:pPr>
      <w:r>
        <w:rPr>
          <w:b w:val="0"/>
          <w:i w:val="0"/>
          <w:sz w:val="22"/>
        </w:rPr>
        <w:t>This project delivered a complete, production-quality analytics pipeline on 25,000 Indian e-commerce customer sessions. All stages of the data science lifecycle were completed — from data loading and feature engineering through 12 distinct analytics dimensions to a machine learning purchase predictor achieving 99.80% accuracy and 0.9975 ROC-AUC, and an interactive 6-panel Plotly dashboard.</w:t>
      </w:r>
    </w:p>
    <w:p w14:paraId="00100396" w14:textId="00100397">
      <w:pPr>
        <w:spacing w:before="0" w:after="200"/>
        <w:jc w:val="left"/>
      </w:pPr>
      <w:r>
        <w:rPr>
          <w:b w:val="0"/>
          <w:i w:val="0"/>
          <w:sz w:val="22"/>
        </w:rPr>
        <w:t>The analysis confirms that the Indian e-commerce market is characterised by: mobile-first browsing, rapid UPI digital payment adoption, strong festive season (Q4/Autumn) revenue peaks, and a 42% cart abandonment rate that represents the single largest revenue recovery opportunity. The Random Forest model is production-ready for real-time purchase intent scoring.</w:t>
      </w:r>
    </w:p>
    <w:p w14:paraId="00100398" w14:textId="00100399">
      <w:pPr>
        <w:pBdr>
          <w:bottom w:val="single" w:color="2E74B5" w:sz="6" w:space="1"/>
        </w:pBdr>
        <w:spacing w:after="200"/>
      </w:pPr>
    </w:p>
    <w:p w14:paraId="0010039A" w14:textId="0010039B">
      <w:pPr>
        <w:spacing w:before="0" w:after="120"/>
        <w:jc w:val="center"/>
      </w:pPr>
      <w:r>
        <w:rPr>
          <w:b w:val="0"/>
          <w:i/>
          <w:color w:val="787878"/>
          <w:sz w:val="18"/>
        </w:rPr>
        <w:t>Subhadip Dutta  |  Indian E-Commerce Sales &amp; Customer Behavior Analytics  |  Python Data Analytics Project</w:t>
      </w:r>
    </w:p>
    <w:p w14:paraId="0010039C" w14:textId="0010039D">
      <w:pPr>
        <w:pStyle w:val="Heading1"/>
        <w:spacing w:before="280" w:after="160"/>
      </w:pPr>
      <w:r>
        <w:rPr>
          <w:b/>
          <w:sz w:val="32"/>
        </w:rPr>
        <w:t xml:space="preserve">21.  Live Web Application Dashboard — UI Screenshots</w:t>
      </w:r>
    </w:p>
    <w:p w14:paraId="0010039E" w14:textId="0010039F">
      <w:pPr>
        <w:spacing w:after="200"/>
      </w:pPr>
      <w:r>
        <w:rPr>
          <w:sz w:val="22"/>
        </w:rPr>
        <w:t xml:space="preserve">The screenshots below were captured from the live Plotly Dash dashboard running at http://127.0.0.1:8050 (started via python main.py). The dashboard is built entirely in Python using Flask (REST API backend) and Plotly Dash (interactive frontend) with no HTML or JavaScript required.</w:t>
      </w:r>
    </w:p>
    <w:p w14:paraId="001003A0" w14:textId="001003A1">
      <w:pPr>
        <w:pStyle w:val="Heading2"/>
        <w:spacing w:before="120" w:after="120"/>
      </w:pPr>
      <w:r>
        <w:rPr>
          <w:b/>
          <w:sz w:val="26"/>
        </w:rPr>
        <w:t xml:space="preserve">21.1  Overview Tab — KPI Cards, Monthly Revenue &amp; Seasonal Analysis</w:t>
      </w:r>
    </w:p>
    <w:p w14:paraId="001003A2" w14:textId="001003A3">
      <w:pPr>
        <w:spacing w:after="160"/>
      </w:pPr>
      <w:r>
        <w:rPr>
          <w:sz w:val="22"/>
        </w:rPr>
        <w:t xml:space="preserve">The Overview tab is the landing page of the dashboard. It displays six colour-coded KPI cards at the top (Total Sessions: 25,000 | Total Revenue: Rs 10,116,169 | Total Purchases: 5,616 | Conversion Rate: 22.46% | Avg Order Value: Rs 1,801 | Cart Abandonment Rate: 42.0%), followed by a dual-axis Monthly Revenue Trend chart (bars = total revenue, line = avg order value) and a Revenue by Season bar chart side-by-side.</w:t>
      </w:r>
    </w:p>
    <w:p w14:paraId="001003CC" w14:textId="001003CD">
      <w:pPr>
        <w:spacing w:after="200"/>
        <w:jc w:val="center"/>
      </w:pPr>
      <w:r>
        <w:rPr>
          <w:i/>
          <w:color w:val="57606A"/>
          <w:sz w:val="18"/>
        </w:rPr>
        <w:t xml:space="preserve">Figure 20 — Live Dashboard UI: Overview Tab — Revenue &amp; Sessions (Monthly Revenue Trend + Revenue by Season)</w:t>
      </w:r>
    </w:p>
    <w:p w14:paraId="001003CA" w14:textId="001003D2">
      <w:pPr>
        <w:spacing w:line="240" w:lineRule="auto"/>
        <w:jc w:val="center"/>
      </w:pPr>
      <w:r>
        <w:rPr/>
        <w:drawing>
          <wp:inline distT="0" distB="0" distL="0" distR="0">
            <wp:extent cx="5760000" cy="1974857"/>
            <wp:effectExtent l="0" t="0" r="0" b="0"/>
            <wp:docPr id="20" name="screenshot1_revenue_season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screenshot1_revenue_season.png"/>
                    <pic:cNvPicPr/>
                  </pic:nvPicPr>
                  <pic:blipFill>
                    <a:blip r:embed="Ra2591d64b7d1460a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7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3A6" w14:textId="001003A7">
      <w:pPr>
        <w:pStyle w:val="Heading2"/>
        <w:spacing w:before="200" w:after="120"/>
      </w:pPr>
      <w:r>
        <w:rPr>
          <w:b/>
          <w:sz w:val="26"/>
        </w:rPr>
        <w:t xml:space="preserve">21.2  Device &amp; User Breakdown — Overview Tab (lower section)</w:t>
      </w:r>
    </w:p>
    <w:p w14:paraId="001003A8" w14:textId="001003A9">
      <w:pPr>
        <w:spacing w:after="160"/>
      </w:pPr>
      <w:r>
        <w:rPr>
          <w:sz w:val="22"/>
        </w:rPr>
        <w:t xml:space="preserve">Below the revenue charts, the Overview tab renders two side-by-side bar charts: Conversion Rate by Device Type (Desktop 22.5%, Mobile 22.3%, Tablet 23.2%) and Conversion Rate by User Type (New 19.0%, Returning 26.0%). The page footer reads: Indian E-Commerce Analytics — Built with Python — Flask — Plotly Dash.</w:t>
      </w:r>
    </w:p>
    <w:p w14:paraId="001003D0" w14:textId="001003D1">
      <w:pPr>
        <w:spacing w:after="200"/>
        <w:jc w:val="center"/>
      </w:pPr>
      <w:r>
        <w:rPr>
          <w:i/>
          <w:color w:val="57606A"/>
          <w:sz w:val="18"/>
        </w:rPr>
        <w:t xml:space="preserve">Figure 21 — Live Dashboard UI: Device &amp; User Breakdown (Conversion Rate by Device + New vs Returning)</w:t>
      </w:r>
    </w:p>
    <w:p w14:paraId="001003CE" w14:textId="001003D3">
      <w:pPr>
        <w:spacing w:line="240" w:lineRule="auto"/>
        <w:jc w:val="center"/>
      </w:pPr>
      <w:r>
        <w:rPr/>
        <w:drawing>
          <wp:inline distT="0" distB="0" distL="0" distR="0">
            <wp:extent cx="5760000" cy="1974857"/>
            <wp:effectExtent l="0" t="0" r="0" b="0"/>
            <wp:docPr id="21" name="screenshot2_device_user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screenshot2_device_user.png"/>
                    <pic:cNvPicPr/>
                  </pic:nvPicPr>
                  <pic:blipFill>
                    <a:blip r:embed="Rbf5b6bc664e848ab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7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3AC" w14:textId="001003AD">
      <w:pPr>
        <w:pStyle w:val="Heading2"/>
        <w:spacing w:before="200" w:after="120"/>
      </w:pPr>
      <w:r>
        <w:rPr>
          <w:b/>
          <w:sz w:val="26"/>
        </w:rPr>
        <w:t xml:space="preserve">21.3  Dashboard Tab Summary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873"/>
        <w:gridCol w:w="4873"/>
      </w:tblGrid>
      <w:tr>
        <w:trPr>
          <w:tblHeader/>
        </w:trPr>
        <w:tc>
          <w:p w14:paraId="001003AE" w14:textId="001003AF">
            <w:r>
              <w:t xml:space="preserve">Dashboard Tab</w:t>
            </w:r>
          </w:p>
        </w:tc>
        <w:tc>
          <w:p w14:paraId="001003B0" w14:textId="001003B1">
            <w:r>
              <w:t xml:space="preserve">Charts &amp; Visualisations Shown</w:t>
            </w:r>
          </w:p>
        </w:tc>
      </w:tr>
      <w:tr>
        <w:trPr/>
        <w:tc>
          <w:p w14:paraId="001003B2" w14:textId="001003B3">
            <w:r>
              <w:t xml:space="preserve">Overview (shown above)</w:t>
            </w:r>
          </w:p>
        </w:tc>
        <w:tc>
          <w:p w14:paraId="001003B4" w14:textId="001003B5">
            <w:r>
              <w:t xml:space="preserve">6 KPI cards, Monthly Revenue Trend, Revenue by Season, Device Conversion, New vs Returning</w:t>
            </w:r>
          </w:p>
        </w:tc>
      </w:tr>
      <w:tr>
        <w:trPr/>
        <w:tc>
          <w:p w14:paraId="001003B6" w14:textId="001003B7">
            <w:r>
              <w:t xml:space="preserve">Sales &amp; Time</w:t>
            </w:r>
          </w:p>
        </w:tc>
        <w:tc>
          <w:p w14:paraId="001003B8" w14:textId="001003B9">
            <w:r>
              <w:t xml:space="preserve">Monthly dual-axis chart, Revenue by Day of Week, Revenue by Season</w:t>
            </w:r>
          </w:p>
        </w:tc>
      </w:tr>
      <w:tr>
        <w:trPr/>
        <w:tc>
          <w:p w14:paraId="001003BA" w14:textId="001003BB">
            <w:r>
              <w:t xml:space="preserve">Products</w:t>
            </w:r>
          </w:p>
        </w:tc>
        <w:tc>
          <w:p w14:paraId="001003BC" w14:textId="001003BD">
            <w:r>
              <w:t xml:space="preserve">Revenue by Product Category, Rating Impact (revenue + purchase rate), Top 15 Locations</w:t>
            </w:r>
          </w:p>
        </w:tc>
      </w:tr>
      <w:tr>
        <w:trPr/>
        <w:tc>
          <w:p w14:paraId="001003BE" w14:textId="001003BF">
            <w:r>
              <w:t xml:space="preserve">Marketing</w:t>
            </w:r>
          </w:p>
        </w:tc>
        <w:tc>
          <w:p w14:paraId="001003C0" w14:textId="001003C1">
            <w:r>
              <w:t xml:space="preserve">Marketing Channel grouped bar, Revenue by Payment Method (donut), Cart Abandonment vs Discount</w:t>
            </w:r>
          </w:p>
        </w:tc>
      </w:tr>
      <w:tr>
        <w:trPr/>
        <w:tc>
          <w:p w14:paraId="001003C2" w14:textId="001003C3">
            <w:r>
              <w:t xml:space="preserve">Customers</w:t>
            </w:r>
          </w:p>
        </w:tc>
        <w:tc>
          <w:p w14:paraId="001003C4" w14:textId="001003C5">
            <w:r>
              <w:t xml:space="preserve">New vs Returning conversion, Device comparison, Cart abandonment, Rating analysis</w:t>
            </w:r>
          </w:p>
        </w:tc>
      </w:tr>
      <w:tr>
        <w:trPr/>
        <w:tc>
          <w:p w14:paraId="001003C6" w14:textId="001003C7">
            <w:r>
              <w:t xml:space="preserve">Machine Learning</w:t>
            </w:r>
          </w:p>
        </w:tc>
        <w:tc>
          <w:p w14:paraId="001003C8" w14:textId="001003C9">
            <w:r>
              <w:t xml:space="preserve">Model performance table, Accuracy &amp; ROC-AUC bar chart, Random Forest Feature Importances</w:t>
            </w:r>
          </w:p>
        </w:tc>
      </w:tr>
    </w:tbl>
    <w:sectPr w:rsidRPr="0006063C" w:rsidR="00FC693F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media/image1.png" Id="rId9" /><Relationship Type="http://schemas.openxmlformats.org/officeDocument/2006/relationships/image" Target="media/image2.png" Id="rId10" /><Relationship Type="http://schemas.openxmlformats.org/officeDocument/2006/relationships/image" Target="media/image3.png" Id="rId11" /><Relationship Type="http://schemas.openxmlformats.org/officeDocument/2006/relationships/image" Target="media/image4.png" Id="rId12" /><Relationship Type="http://schemas.openxmlformats.org/officeDocument/2006/relationships/image" Target="media/image5.png" Id="rId13" /><Relationship Type="http://schemas.openxmlformats.org/officeDocument/2006/relationships/image" Target="media/image6.png" Id="rId14" /><Relationship Type="http://schemas.openxmlformats.org/officeDocument/2006/relationships/image" Target="media/image7.png" Id="rId15" /><Relationship Type="http://schemas.openxmlformats.org/officeDocument/2006/relationships/image" Target="media/image8.png" Id="rId16" /><Relationship Type="http://schemas.openxmlformats.org/officeDocument/2006/relationships/image" Target="media/image9.png" Id="rId17" /><Relationship Type="http://schemas.openxmlformats.org/officeDocument/2006/relationships/image" Target="media/image10.png" Id="rId18" /><Relationship Type="http://schemas.openxmlformats.org/officeDocument/2006/relationships/image" Target="media/image11.png" Id="rId19" /><Relationship Type="http://schemas.openxmlformats.org/officeDocument/2006/relationships/image" Target="media/image12.png" Id="rId20" /><Relationship Type="http://schemas.openxmlformats.org/officeDocument/2006/relationships/image" Target="media/image13.png" Id="rId21" /><Relationship Type="http://schemas.openxmlformats.org/officeDocument/2006/relationships/image" Target="media/image14.png" Id="rId22" /><Relationship Type="http://schemas.openxmlformats.org/officeDocument/2006/relationships/image" Target="media/image15.png" Id="rId23" /><Relationship Type="http://schemas.openxmlformats.org/officeDocument/2006/relationships/image" Target="media/image16.png" Id="rId24" /><Relationship Type="http://schemas.openxmlformats.org/officeDocument/2006/relationships/image" Target="media/image17.png" Id="rId25" /><Relationship Type="http://schemas.openxmlformats.org/officeDocument/2006/relationships/image" Target="media/image18.png" Id="rId26" /><Relationship Type="http://schemas.openxmlformats.org/officeDocument/2006/relationships/image" Target="media/image19.png" Id="rId27" /><Relationship Type="http://schemas.openxmlformats.org/officeDocument/2006/relationships/image" Target="/media/image20.png" Id="Ra2591d64b7d1460a" /><Relationship Type="http://schemas.openxmlformats.org/officeDocument/2006/relationships/image" Target="/media/image21.png" Id="Rbf5b6bc664e848a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1.0.152</vt:lpwstr>
  </op:property>
  <op:property fmtid="{D5CDD505-2E9C-101B-9397-08002B2CF9AE}" pid="3" name="OfficeCLI.LastModified">
    <vt:lpwstr xmlns:vt="http://schemas.openxmlformats.org/officeDocument/2006/docPropsVTypes">2026-09-24T05:31:18Z</vt:lpwstr>
  </op:property>
</op:Properties>
</file>