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Semantic Retrieval and Multi-Temporal Change Analysis of Satellite Imagery Using a Shared Foundation-Model Embedding Space</w:t>
      </w:r>
    </w:p>
    <w:p>
      <w:pPr>
        <w:jc w:val="center"/>
      </w:pPr>
      <w:r>
        <w:rPr>
          <w:i/>
        </w:rPr>
        <w:t>Course: BCSE407L – Computer Vision</w:t>
        <w:br/>
        <w:t>Research Integrated Learning (RIL)</w:t>
        <w:br/>
        <w:t>Aligned to Smart India Hackathon 2026 · PS SIH26227</w:t>
        <w:br/>
        <w:t>Ministry of Defence (Indian Army, DGIS) · Theme: Space Technology</w:t>
      </w:r>
    </w:p>
    <w:p/>
    <w:p>
      <w:pPr>
        <w:pStyle w:val="Heading1"/>
      </w:pPr>
      <w:r>
        <w:t>1. Abstract</w:t>
      </w:r>
    </w:p>
    <w:p>
      <w:r>
        <w:rPr>
          <w:b w:val="0"/>
          <w:i w:val="0"/>
        </w:rPr>
        <w:t>Earth-observation archives are growing rapidly and now contain multi-temporal, multi-spectral and multi-sensor imagery at a scale that defeats manual review. Conventional catalogues index imagery by metadata — coordinates, acquisition date, platform, product type — which means an analyst must already know where and when to look before the imagery itself can be examined. Two capabilities are therefore missing: searching an archive by semantic content, and understanding how a location has changed across time without inspecting every scene by hand.</w:t>
      </w:r>
    </w:p>
    <w:p>
      <w:r>
        <w:rPr>
          <w:b w:val="0"/>
          <w:i w:val="0"/>
        </w:rPr>
        <w:t>This project proposes a training-free pipeline that makes a satellite archive queryable both by meaning and by change over time. Image tiles are encoded once using a frozen remote-sensing foundation model, and the resulting vectors are indexed for similarity search. The same embedding space then serves two purposes: it ranks tiles against a free-text or image query, and it supplies the change signal between two acquisition dates for the same location. Changes are refined at pixel level, classified into categories such as construction, clearance, water-extent variation and vegetation change, and passed through a false-alarm suppression stage that treats seasonal variation, illumination and view-angle differences, cloud, shadow and radiometric inconsistency as confounds rather than as change.</w:t>
      </w:r>
    </w:p>
    <w:p>
      <w:r>
        <w:rPr>
          <w:b w:val="0"/>
          <w:i w:val="0"/>
        </w:rPr>
        <w:t>Unlike prior work that treats semantic retrieval and change detection as separate systems, and unlike change-detection literature that optimises for raw change recall, this project couples both tasks in one shared embedding space and evaluates change decisions by precision under confound stress. Evaluation uses the publicly available LEVIR-CD and OSCD benchmarks, with qualitative demonstration on open Copernicus Sentinel-2 and NRSC/ISRO Bhuvan imagery. All models are pretrained and used for inference only; no training or fine-tuning is performed.</w:t>
      </w:r>
    </w:p>
    <w:p>
      <w:r>
        <w:rPr>
          <w:b/>
          <w:i w:val="0"/>
        </w:rPr>
        <w:t>Keywords:</w:t>
      </w:r>
    </w:p>
    <w:p>
      <w:r>
        <w:rPr>
          <w:b w:val="0"/>
          <w:i w:val="0"/>
        </w:rPr>
        <w:t>Computer Vision, Remote Sensing, Semantic Retrieval, Change Detection, Foundation Models, Vector Search, Earth Observation, Geospatial Intelligence</w:t>
      </w:r>
    </w:p>
    <w:p>
      <w:r>
        <w:br w:type="page"/>
      </w:r>
    </w:p>
    <w:p>
      <w:pPr>
        <w:pStyle w:val="Heading1"/>
      </w:pPr>
      <w:r>
        <w:t>2. Introduction</w:t>
      </w:r>
    </w:p>
    <w:p>
      <w:pPr>
        <w:pStyle w:val="Heading2"/>
      </w:pPr>
      <w:r>
        <w:t>2.1 Background</w:t>
      </w:r>
    </w:p>
    <w:p>
      <w:r>
        <w:rPr>
          <w:b w:val="0"/>
          <w:i w:val="0"/>
        </w:rPr>
        <w:t>Satellite imagery underpins defence intelligence, infrastructure monitoring, disaster assessment, environmental monitoring, urban expansion analysis and agricultural planning. Recent years have seen a steep increase in the volume, revisit frequency and sensor diversity of Earth-observation data. Open programmes such as Copernicus Sentinel-1/2, USGS Landsat and NRSC/ISRO Bhuvan make large archives freely available.</w:t>
      </w:r>
    </w:p>
    <w:p>
      <w:r>
        <w:rPr>
          <w:b w:val="0"/>
          <w:i w:val="0"/>
        </w:rPr>
        <w:t>The practical difficulty is no longer acquiring imagery. It is finding the relevant imagery inside an archive that is far too large to inspect manually. Conventional geospatial catalogues support queries such as:</w:t>
      </w:r>
    </w:p>
    <w:p>
      <w:pPr>
        <w:pStyle w:val="ListBullet"/>
      </w:pPr>
      <w:r>
        <w:t>Coordinates or area of interest</w:t>
      </w:r>
    </w:p>
    <w:p>
      <w:pPr>
        <w:pStyle w:val="ListBullet"/>
      </w:pPr>
      <w:r>
        <w:t>Acquisition date or date range</w:t>
      </w:r>
    </w:p>
    <w:p>
      <w:pPr>
        <w:pStyle w:val="ListBullet"/>
      </w:pPr>
      <w:r>
        <w:t>Satellite platform and sensor</w:t>
      </w:r>
    </w:p>
    <w:p>
      <w:pPr>
        <w:pStyle w:val="ListBullet"/>
      </w:pPr>
      <w:r>
        <w:t>Product type and processing level</w:t>
      </w:r>
    </w:p>
    <w:p>
      <w:r>
        <w:rPr>
          <w:b w:val="0"/>
          <w:i w:val="0"/>
        </w:rPr>
        <w:t>All of these are metadata filters. None of them answer a question about image content.</w:t>
      </w:r>
    </w:p>
    <w:p>
      <w:pPr>
        <w:pStyle w:val="Heading2"/>
      </w:pPr>
      <w:r>
        <w:t>2.2 Problem</w:t>
      </w:r>
    </w:p>
    <w:p>
      <w:r>
        <w:rPr>
          <w:b w:val="0"/>
          <w:i w:val="0"/>
        </w:rPr>
        <w:t>Two gaps follow directly from a metadata-only catalogue:</w:t>
      </w:r>
    </w:p>
    <w:p>
      <w:pPr>
        <w:pStyle w:val="ListNumber"/>
      </w:pPr>
      <w:r>
        <w:t>An analyst cannot search by meaning. A query such as "newly built structures near a river" or "large vehicle concentrations on open ground" has no equivalent in a conventional catalogue, because the catalogue does not represent what the imagery depicts.</w:t>
      </w:r>
    </w:p>
    <w:p>
      <w:pPr>
        <w:pStyle w:val="ListNumber"/>
      </w:pPr>
      <w:r>
        <w:t>An analyst cannot ask what changed. Determining whether construction appeared between two dates requires manually locating, aligning and comparing scenes — which does not scale, and which presumes the analyst already knew where to look.</w:t>
      </w:r>
    </w:p>
    <w:p>
      <w:r>
        <w:rPr>
          <w:b w:val="0"/>
          <w:i w:val="0"/>
        </w:rPr>
        <w:t>A naive automated approach fails for a specific and well-known reason: most apparent differences between two satellite images of the same place are not real change. Confounding factors include:</w:t>
      </w:r>
    </w:p>
    <w:p>
      <w:pPr>
        <w:pStyle w:val="ListBullet"/>
      </w:pPr>
      <w:r>
        <w:t>Seasonal variation in vegetation and land cover</w:t>
      </w:r>
    </w:p>
    <w:p>
      <w:pPr>
        <w:pStyle w:val="ListBullet"/>
      </w:pPr>
      <w:r>
        <w:t>Illumination differences from sun azimuth and elevation</w:t>
      </w:r>
    </w:p>
    <w:p>
      <w:pPr>
        <w:pStyle w:val="ListBullet"/>
      </w:pPr>
      <w:r>
        <w:t>Viewing-geometry and co-registration error between acquisitions</w:t>
      </w:r>
    </w:p>
    <w:p>
      <w:pPr>
        <w:pStyle w:val="ListBullet"/>
      </w:pPr>
      <w:r>
        <w:t>Cloud, haze, snow and shadow</w:t>
      </w:r>
    </w:p>
    <w:p>
      <w:pPr>
        <w:pStyle w:val="ListBullet"/>
      </w:pPr>
      <w:r>
        <w:t>Radiometric inconsistency between sensors or processing chains</w:t>
      </w:r>
    </w:p>
    <w:p>
      <w:r>
        <w:rPr>
          <w:b w:val="0"/>
          <w:i w:val="0"/>
        </w:rPr>
        <w:t>A change-detection system that reports every pixel difference produces so many false alarms that it is operationally useless. Precision, not recall, is the binding constraint.</w:t>
      </w:r>
    </w:p>
    <w:p>
      <w:pPr>
        <w:pStyle w:val="Heading2"/>
      </w:pPr>
      <w:r>
        <w:t>2.3 Motivation</w:t>
      </w:r>
    </w:p>
    <w:p>
      <w:pPr>
        <w:pStyle w:val="ListBullet"/>
      </w:pPr>
      <w:r>
        <w:t>Enable discovery: let an analyst find locations of interest without specifying every one in advance</w:t>
      </w:r>
    </w:p>
    <w:p>
      <w:pPr>
        <w:pStyle w:val="ListBullet"/>
      </w:pPr>
      <w:r>
        <w:t>Reduce manual review burden across archives too large to inspect scene by scene</w:t>
      </w:r>
    </w:p>
    <w:p>
      <w:pPr>
        <w:pStyle w:val="ListBullet"/>
      </w:pPr>
      <w:r>
        <w:t>Produce change reports that are trustworthy enough to act on, by suppressing confound-driven false alarms</w:t>
      </w:r>
    </w:p>
    <w:p>
      <w:pPr>
        <w:pStyle w:val="ListBullet"/>
      </w:pPr>
      <w:r>
        <w:t>Avoid the cost, data requirements and opacity of training custom models by using frozen pretrained encoders</w:t>
      </w:r>
    </w:p>
    <w:p>
      <w:pPr>
        <w:pStyle w:val="ListBullet"/>
      </w:pPr>
      <w:r>
        <w:t>Preserve geospatial provenance so every result can be traced back to its source scene</w:t>
      </w:r>
    </w:p>
    <w:p>
      <w:pPr>
        <w:pStyle w:val="Heading2"/>
      </w:pPr>
      <w:r>
        <w:t>2.4 Research Gap</w:t>
      </w:r>
    </w:p>
    <w:p>
      <w:r>
        <w:rPr>
          <w:b w:val="0"/>
          <w:i w:val="0"/>
        </w:rPr>
        <w:t>Semantic retrieval over imagery and multi-temporal change detection are both active research areas, but they are typically pursued as separate systems with separate representations: a retrieval model produces embeddings for search, while a change detection model produces its own features for comparison. Maintaining two representations over the same archive duplicates computation and storage, and prevents a query from directly informing change analysis.</w:t>
      </w:r>
    </w:p>
    <w:p>
      <w:r>
        <w:rPr>
          <w:b w:val="0"/>
          <w:i w:val="0"/>
        </w:rPr>
        <w:t>In addition, change-detection literature commonly reports recall-oriented metrics on benchmarks where confounding conditions are limited, while operational requirements explicitly favour precision — reporting fewer changes, but ones that are real. The evaluation protocol and the operational need are therefore misaligned.</w:t>
      </w:r>
    </w:p>
    <w:p>
      <w:pPr>
        <w:pStyle w:val="Heading2"/>
      </w:pPr>
      <w:r>
        <w:t>2.5 Proposed Idea</w:t>
      </w:r>
    </w:p>
    <w:p>
      <w:r>
        <w:rPr>
          <w:b w:val="0"/>
          <w:i w:val="0"/>
        </w:rPr>
        <w:t>Proposed system: Satellite Archive → Tiling with Geo-Metadata → Frozen Foundation-Model Embedding → Shared Vector Index → {Semantic Retrieval | Multi-Temporal Change Analysis} → False-Alarm Suppression → Ranked Results and Change Maps</w:t>
      </w:r>
    </w:p>
    <w:p>
      <w:r>
        <w:rPr>
          <w:b w:val="0"/>
          <w:i w:val="0"/>
        </w:rPr>
        <w:t>Each tile is embedded exactly once. The resulting shared index supports:</w:t>
      </w:r>
    </w:p>
    <w:p>
      <w:pPr>
        <w:pStyle w:val="ListBullet"/>
      </w:pPr>
      <w:r>
        <w:t>Semantic retrieval: a free-text query is encoded into the same vector space and tiles are ranked by cosine similarity; image-to-image search and metadata filters (area of interest, date range, sensor) refine the ranking</w:t>
      </w:r>
    </w:p>
    <w:p>
      <w:pPr>
        <w:pStyle w:val="ListBullet"/>
      </w:pPr>
      <w:r>
        <w:t>Change analysis: for the same location at two dates, the distance between the two tile vectors provides the change signal, which is refined at pixel level into a change mask and classified by change type</w:t>
      </w:r>
    </w:p>
    <w:p>
      <w:pPr>
        <w:pStyle w:val="ListBullet"/>
      </w:pPr>
      <w:r>
        <w:t>False-alarm suppression: cloud and shadow masking, radiometric normalisation across dates, and a per-candidate confidence score, tuned to favour precision</w:t>
      </w:r>
    </w:p>
    <w:p>
      <w:pPr>
        <w:pStyle w:val="Heading2"/>
      </w:pPr>
      <w:r>
        <w:t>2.6 Novelty</w:t>
      </w:r>
    </w:p>
    <w:p>
      <w:r>
        <w:rPr>
          <w:b w:val="0"/>
          <w:i/>
        </w:rPr>
        <w:t>We couple semantic retrieval and multi-temporal change analysis in a single shared foundation-model embedding space — the same vectors that rank a text query also produce the change signal — and we evaluate change decisions by precision under confound stress (season, illumination, cloud, co-registration error) rather than by raw change recall.</w:t>
      </w:r>
    </w:p>
    <w:p>
      <w:r>
        <w:rPr>
          <w:b w:val="0"/>
          <w:i w:val="0"/>
        </w:rPr>
        <w:t>In short: the contribution is not a new detector or a new retrieval algorithm. It is the coupling of two tasks in one representation, combined with an evaluation protocol that measures whether reported change is real rather than merely abundant.</w:t>
      </w:r>
    </w:p>
    <w:p>
      <w:r>
        <w:br w:type="page"/>
      </w:r>
    </w:p>
    <w:p>
      <w:pPr>
        <w:pStyle w:val="Heading1"/>
      </w:pPr>
      <w:r>
        <w:t>3. Scope Declaration</w:t>
      </w:r>
    </w:p>
    <w:p>
      <w:r>
        <w:rPr>
          <w:b w:val="0"/>
          <w:i w:val="0"/>
        </w:rPr>
        <w:t>Problem statement SIH26227 specifies six required capabilities for a full operational system. A four-member, eight-week Research Integrated Learning project cannot deliver an air-gapped production deployment. The capabilities implemented in this project, and those explicitly out of scope, are stated below. This declaration is repeated in the Experimental Setup section of the 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PS §</w:t>
            </w:r>
          </w:p>
        </w:tc>
        <w:tc>
          <w:tcPr>
            <w:tcW w:type="dxa" w:w="2880"/>
          </w:tcPr>
          <w:p>
            <w:r>
              <w:t>Capability</w:t>
            </w:r>
          </w:p>
        </w:tc>
        <w:tc>
          <w:tcPr>
            <w:tcW w:type="dxa" w:w="2880"/>
          </w:tcPr>
          <w:p>
            <w:r>
              <w:t>Scope in this project</w:t>
            </w:r>
          </w:p>
        </w:tc>
      </w:tr>
      <w:tr>
        <w:tc>
          <w:tcPr>
            <w:tcW w:type="dxa" w:w="2880"/>
          </w:tcPr>
          <w:p>
            <w:r>
              <w:t>2.2.1</w:t>
            </w:r>
          </w:p>
        </w:tc>
        <w:tc>
          <w:tcPr>
            <w:tcW w:type="dxa" w:w="2880"/>
          </w:tcPr>
          <w:p>
            <w:r>
              <w:t>Semantic and multimodal retrieval</w:t>
            </w:r>
          </w:p>
        </w:tc>
        <w:tc>
          <w:tcPr>
            <w:tcW w:type="dxa" w:w="2880"/>
          </w:tcPr>
          <w:p>
            <w:r>
              <w:t>Implemented in full — free-text query, image-to-image search, ranked results, metadata filters</w:t>
            </w:r>
          </w:p>
        </w:tc>
      </w:tr>
      <w:tr>
        <w:tc>
          <w:tcPr>
            <w:tcW w:type="dxa" w:w="2880"/>
          </w:tcPr>
          <w:p>
            <w:r>
              <w:t>2.2.2</w:t>
            </w:r>
          </w:p>
        </w:tc>
        <w:tc>
          <w:tcPr>
            <w:tcW w:type="dxa" w:w="2880"/>
          </w:tcPr>
          <w:p>
            <w:r>
              <w:t>Multi-temporal change analysis</w:t>
            </w:r>
          </w:p>
        </w:tc>
        <w:tc>
          <w:tcPr>
            <w:tcW w:type="dxa" w:w="2880"/>
          </w:tcPr>
          <w:p>
            <w:r>
              <w:t>Implemented in full — change mask plus classification into construction, clearance, water-extent and vegetation change</w:t>
            </w:r>
          </w:p>
        </w:tc>
      </w:tr>
      <w:tr>
        <w:tc>
          <w:tcPr>
            <w:tcW w:type="dxa" w:w="2880"/>
          </w:tcPr>
          <w:p>
            <w:r>
              <w:t>2.2.3</w:t>
            </w:r>
          </w:p>
        </w:tc>
        <w:tc>
          <w:tcPr>
            <w:tcW w:type="dxa" w:w="2880"/>
          </w:tcPr>
          <w:p>
            <w:r>
              <w:t>False-alarm suppression and quality handling</w:t>
            </w:r>
          </w:p>
        </w:tc>
        <w:tc>
          <w:tcPr>
            <w:tcW w:type="dxa" w:w="2880"/>
          </w:tcPr>
          <w:p>
            <w:r>
              <w:t>Partially implemented — cloud/shadow masking, radiometric normalisation and confidence scoring; a stated subset of confounds is addressed</w:t>
            </w:r>
          </w:p>
        </w:tc>
      </w:tr>
      <w:tr>
        <w:tc>
          <w:tcPr>
            <w:tcW w:type="dxa" w:w="2880"/>
          </w:tcPr>
          <w:p>
            <w:r>
              <w:t>2.2.4</w:t>
            </w:r>
          </w:p>
        </w:tc>
        <w:tc>
          <w:tcPr>
            <w:tcW w:type="dxa" w:w="2880"/>
          </w:tcPr>
          <w:p>
            <w:r>
              <w:t>Discovery and clustering</w:t>
            </w:r>
          </w:p>
        </w:tc>
        <w:tc>
          <w:tcPr>
            <w:tcW w:type="dxa" w:w="2880"/>
          </w:tcPr>
          <w:p>
            <w:r>
              <w:t>Stretch goal — embedding-based grouping over the existing index, implemented if time permits</w:t>
            </w:r>
          </w:p>
        </w:tc>
      </w:tr>
      <w:tr>
        <w:tc>
          <w:tcPr>
            <w:tcW w:type="dxa" w:w="2880"/>
          </w:tcPr>
          <w:p>
            <w:r>
              <w:t>2.2.5</w:t>
            </w:r>
          </w:p>
        </w:tc>
        <w:tc>
          <w:tcPr>
            <w:tcW w:type="dxa" w:w="2880"/>
          </w:tcPr>
          <w:p>
            <w:r>
              <w:t>Analyst workflow, provenance and audit trail</w:t>
            </w:r>
          </w:p>
        </w:tc>
        <w:tc>
          <w:tcPr>
            <w:tcW w:type="dxa" w:w="2880"/>
          </w:tcPr>
          <w:p>
            <w:r>
              <w:t>Out of scope — documented as future work</w:t>
            </w:r>
          </w:p>
        </w:tc>
      </w:tr>
      <w:tr>
        <w:tc>
          <w:tcPr>
            <w:tcW w:type="dxa" w:w="2880"/>
          </w:tcPr>
          <w:p>
            <w:r>
              <w:t>2.2.6</w:t>
            </w:r>
          </w:p>
        </w:tc>
        <w:tc>
          <w:tcPr>
            <w:tcW w:type="dxa" w:w="2880"/>
          </w:tcPr>
          <w:p>
            <w:r>
              <w:t>Scale, incremental ingestion and offline sovereignty</w:t>
            </w:r>
          </w:p>
        </w:tc>
        <w:tc>
          <w:tcPr>
            <w:tcW w:type="dxa" w:w="2880"/>
          </w:tcPr>
          <w:p>
            <w:r>
              <w:t>Out of scope — a static index is used; GeoTIFF/COG reading is demonstrated but not productionised</w:t>
            </w:r>
          </w:p>
        </w:tc>
      </w:tr>
    </w:tbl>
    <w:p/>
    <w:p>
      <w:pPr>
        <w:pStyle w:val="Heading1"/>
      </w:pPr>
      <w:r>
        <w:t>4. Literature Review</w:t>
      </w:r>
    </w:p>
    <w:p>
      <w:r>
        <w:rPr>
          <w:b w:val="0"/>
          <w:i w:val="0"/>
        </w:rPr>
        <w:t>Pros and cons are marked as + (pros) and − (cons).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Paper</w:t>
            </w:r>
          </w:p>
        </w:tc>
        <w:tc>
          <w:tcPr>
            <w:tcW w:type="dxa" w:w="1728"/>
          </w:tcPr>
          <w:p>
            <w:r>
              <w:t>Objective</w:t>
            </w:r>
          </w:p>
        </w:tc>
        <w:tc>
          <w:tcPr>
            <w:tcW w:type="dxa" w:w="1728"/>
          </w:tcPr>
          <w:p>
            <w:r>
              <w:t>Methodology</w:t>
            </w:r>
          </w:p>
        </w:tc>
        <w:tc>
          <w:tcPr>
            <w:tcW w:type="dxa" w:w="1728"/>
          </w:tcPr>
          <w:p>
            <w:r>
              <w:t>Pros / Cons</w:t>
            </w:r>
          </w:p>
        </w:tc>
        <w:tc>
          <w:tcPr>
            <w:tcW w:type="dxa" w:w="1728"/>
          </w:tcPr>
          <w:p>
            <w:r>
              <w:t>Key Finding</w:t>
            </w:r>
          </w:p>
        </w:tc>
      </w:tr>
      <w:tr>
        <w:tc>
          <w:tcPr>
            <w:tcW w:type="dxa" w:w="1728"/>
          </w:tcPr>
          <w:p>
            <w:r>
              <w:t>Radford et al. — Learning Transferable Visual Models From Natural Language Supervision (CLIP), 2021</w:t>
            </w:r>
          </w:p>
        </w:tc>
        <w:tc>
          <w:tcPr>
            <w:tcW w:type="dxa" w:w="1728"/>
          </w:tcPr>
          <w:p>
            <w:r>
              <w:t>Align images and text in a shared embedding space</w:t>
            </w:r>
          </w:p>
        </w:tc>
        <w:tc>
          <w:tcPr>
            <w:tcW w:type="dxa" w:w="1728"/>
          </w:tcPr>
          <w:p>
            <w:r>
              <w:t>Contrastive pretraining on large image–text pairs</w:t>
            </w:r>
          </w:p>
        </w:tc>
        <w:tc>
          <w:tcPr>
            <w:tcW w:type="dxa" w:w="1728"/>
          </w:tcPr>
          <w:p>
            <w:r>
              <w:t>+ Enables zero-shot text-to-image search</w:t>
              <w:br/>
              <w:t>− Trained on natural photographs; domain gap on overhead imagery</w:t>
            </w:r>
          </w:p>
        </w:tc>
        <w:tc>
          <w:tcPr>
            <w:tcW w:type="dxa" w:w="1728"/>
          </w:tcPr>
          <w:p>
            <w:r>
              <w:t>A single shared space supports retrieval without task-specific training</w:t>
            </w:r>
          </w:p>
        </w:tc>
      </w:tr>
      <w:tr>
        <w:tc>
          <w:tcPr>
            <w:tcW w:type="dxa" w:w="1728"/>
          </w:tcPr>
          <w:p>
            <w:r>
              <w:t>Liu et al. — RemoteCLIP: A Vision-Language Foundation Model for Remote Sensing, 2024</w:t>
            </w:r>
          </w:p>
        </w:tc>
        <w:tc>
          <w:tcPr>
            <w:tcW w:type="dxa" w:w="1728"/>
          </w:tcPr>
          <w:p>
            <w:r>
              <w:t>Adapt vision-language alignment to overhead imagery</w:t>
            </w:r>
          </w:p>
        </w:tc>
        <w:tc>
          <w:tcPr>
            <w:tcW w:type="dxa" w:w="1728"/>
          </w:tcPr>
          <w:p>
            <w:r>
              <w:t>Continued pretraining on curated remote-sensing image–text data</w:t>
            </w:r>
          </w:p>
        </w:tc>
        <w:tc>
          <w:tcPr>
            <w:tcW w:type="dxa" w:w="1728"/>
          </w:tcPr>
          <w:p>
            <w:r>
              <w:t>+ Closes the natural-image domain gap</w:t>
              <w:br/>
              <w:t>− Still requires pretrained weights to be staged</w:t>
            </w:r>
          </w:p>
        </w:tc>
        <w:tc>
          <w:tcPr>
            <w:tcW w:type="dxa" w:w="1728"/>
          </w:tcPr>
          <w:p>
            <w:r>
              <w:t>Remote-sensing-tuned embeddings substantially improve EO retrieval quality</w:t>
            </w:r>
          </w:p>
        </w:tc>
      </w:tr>
      <w:tr>
        <w:tc>
          <w:tcPr>
            <w:tcW w:type="dxa" w:w="1728"/>
          </w:tcPr>
          <w:p>
            <w:r>
              <w:t>Oquab et al. — DINOv2: Learning Robust Visual Features without Supervision, 2023</w:t>
            </w:r>
          </w:p>
        </w:tc>
        <w:tc>
          <w:tcPr>
            <w:tcW w:type="dxa" w:w="1728"/>
          </w:tcPr>
          <w:p>
            <w:r>
              <w:t>General-purpose visual features without labels</w:t>
            </w:r>
          </w:p>
        </w:tc>
        <w:tc>
          <w:tcPr>
            <w:tcW w:type="dxa" w:w="1728"/>
          </w:tcPr>
          <w:p>
            <w:r>
              <w:t>Self-supervised distillation at scale</w:t>
            </w:r>
          </w:p>
        </w:tc>
        <w:tc>
          <w:tcPr>
            <w:tcW w:type="dxa" w:w="1728"/>
          </w:tcPr>
          <w:p>
            <w:r>
              <w:t>+ Strong dense features usable without fine-tuning</w:t>
              <w:br/>
              <w:t>− No native text alignment for free-text query</w:t>
            </w:r>
          </w:p>
        </w:tc>
        <w:tc>
          <w:tcPr>
            <w:tcW w:type="dxa" w:w="1728"/>
          </w:tcPr>
          <w:p>
            <w:r>
              <w:t>Frozen self-supervised features transfer well across visual domains</w:t>
            </w:r>
          </w:p>
        </w:tc>
      </w:tr>
      <w:tr>
        <w:tc>
          <w:tcPr>
            <w:tcW w:type="dxa" w:w="1728"/>
          </w:tcPr>
          <w:p>
            <w:r>
              <w:t>Daudt et al. — Fully Convolutional Siamese Networks for Change Detection (OSCD), 2018</w:t>
            </w:r>
          </w:p>
        </w:tc>
        <w:tc>
          <w:tcPr>
            <w:tcW w:type="dxa" w:w="1728"/>
          </w:tcPr>
          <w:p>
            <w:r>
              <w:t>Detect change between co-registered satellite image pairs</w:t>
            </w:r>
          </w:p>
        </w:tc>
        <w:tc>
          <w:tcPr>
            <w:tcW w:type="dxa" w:w="1728"/>
          </w:tcPr>
          <w:p>
            <w:r>
              <w:t>Siamese fully-convolutional architectures on Sentinel-2 pairs</w:t>
            </w:r>
          </w:p>
        </w:tc>
        <w:tc>
          <w:tcPr>
            <w:tcW w:type="dxa" w:w="1728"/>
          </w:tcPr>
          <w:p>
            <w:r>
              <w:t>+ Established baseline and benchmark dataset</w:t>
              <w:br/>
              <w:t>− Requires supervised training; recall-oriented evaluation</w:t>
            </w:r>
          </w:p>
        </w:tc>
        <w:tc>
          <w:tcPr>
            <w:tcW w:type="dxa" w:w="1728"/>
          </w:tcPr>
          <w:p>
            <w:r>
              <w:t>Siamese feature differencing is an effective change-detection formulation</w:t>
            </w:r>
          </w:p>
        </w:tc>
      </w:tr>
      <w:tr>
        <w:tc>
          <w:tcPr>
            <w:tcW w:type="dxa" w:w="1728"/>
          </w:tcPr>
          <w:p>
            <w:r>
              <w:t>Chen &amp; Shi — A Spatial-Temporal Attention-Based Method and a New Dataset (LEVIR-CD), 2020</w:t>
            </w:r>
          </w:p>
        </w:tc>
        <w:tc>
          <w:tcPr>
            <w:tcW w:type="dxa" w:w="1728"/>
          </w:tcPr>
          <w:p>
            <w:r>
              <w:t>Building change detection at very high resolution</w:t>
            </w:r>
          </w:p>
        </w:tc>
        <w:tc>
          <w:tcPr>
            <w:tcW w:type="dxa" w:w="1728"/>
          </w:tcPr>
          <w:p>
            <w:r>
              <w:t>Spatial-temporal attention over bitemporal image pairs</w:t>
            </w:r>
          </w:p>
        </w:tc>
        <w:tc>
          <w:tcPr>
            <w:tcW w:type="dxa" w:w="1728"/>
          </w:tcPr>
          <w:p>
            <w:r>
              <w:t>+ Large annotated benchmark, widely used</w:t>
              <w:br/>
              <w:t>− Supervised; building-change specific</w:t>
            </w:r>
          </w:p>
        </w:tc>
        <w:tc>
          <w:tcPr>
            <w:tcW w:type="dxa" w:w="1728"/>
          </w:tcPr>
          <w:p>
            <w:r>
              <w:t>Attention over bitemporal features improves change localisation</w:t>
            </w:r>
          </w:p>
        </w:tc>
      </w:tr>
      <w:tr>
        <w:tc>
          <w:tcPr>
            <w:tcW w:type="dxa" w:w="1728"/>
          </w:tcPr>
          <w:p>
            <w:r>
              <w:t>Malila — Change Vector Analysis, 1980</w:t>
            </w:r>
          </w:p>
        </w:tc>
        <w:tc>
          <w:tcPr>
            <w:tcW w:type="dxa" w:w="1728"/>
          </w:tcPr>
          <w:p>
            <w:r>
              <w:t>Quantify multi-spectral change magnitude and direction</w:t>
            </w:r>
          </w:p>
        </w:tc>
        <w:tc>
          <w:tcPr>
            <w:tcW w:type="dxa" w:w="1728"/>
          </w:tcPr>
          <w:p>
            <w:r>
              <w:t>Vector difference across spectral bands</w:t>
            </w:r>
          </w:p>
        </w:tc>
        <w:tc>
          <w:tcPr>
            <w:tcW w:type="dxa" w:w="1728"/>
          </w:tcPr>
          <w:p>
            <w:r>
              <w:t>+ Simple, interpretable, training-free</w:t>
              <w:br/>
              <w:t>− Highly sensitive to illumination and radiometric drift</w:t>
            </w:r>
          </w:p>
        </w:tc>
        <w:tc>
          <w:tcPr>
            <w:tcW w:type="dxa" w:w="1728"/>
          </w:tcPr>
          <w:p>
            <w:r>
              <w:t>Classical multi-spectral differencing remains a standard baseline</w:t>
            </w:r>
          </w:p>
        </w:tc>
      </w:tr>
      <w:tr>
        <w:tc>
          <w:tcPr>
            <w:tcW w:type="dxa" w:w="1728"/>
          </w:tcPr>
          <w:p>
            <w:r>
              <w:t>Johnson et al. — Billion-scale Similarity Search with GPUs (FAISS), 2019</w:t>
            </w:r>
          </w:p>
        </w:tc>
        <w:tc>
          <w:tcPr>
            <w:tcW w:type="dxa" w:w="1728"/>
          </w:tcPr>
          <w:p>
            <w:r>
              <w:t>Efficient nearest-neighbour search over large vector sets</w:t>
            </w:r>
          </w:p>
        </w:tc>
        <w:tc>
          <w:tcPr>
            <w:tcW w:type="dxa" w:w="1728"/>
          </w:tcPr>
          <w:p>
            <w:r>
              <w:t>Quantisation and indexing structures for approximate search</w:t>
            </w:r>
          </w:p>
        </w:tc>
        <w:tc>
          <w:tcPr>
            <w:tcW w:type="dxa" w:w="1728"/>
          </w:tcPr>
          <w:p>
            <w:r>
              <w:t>+ Scales retrieval to very large archives</w:t>
              <w:br/>
              <w:t>− Approximate indexes trade recall for speed</w:t>
            </w:r>
          </w:p>
        </w:tc>
        <w:tc>
          <w:tcPr>
            <w:tcW w:type="dxa" w:w="1728"/>
          </w:tcPr>
          <w:p>
            <w:r>
              <w:t>Vector indexing makes embedding-based archive search tractable</w:t>
            </w:r>
          </w:p>
        </w:tc>
      </w:tr>
      <w:tr>
        <w:tc>
          <w:tcPr>
            <w:tcW w:type="dxa" w:w="1728"/>
          </w:tcPr>
          <w:p>
            <w:r>
              <w:t>Recent EO foundation-model and semantic retrieval work, 2024–2026</w:t>
            </w:r>
          </w:p>
        </w:tc>
        <w:tc>
          <w:tcPr>
            <w:tcW w:type="dxa" w:w="1728"/>
          </w:tcPr>
          <w:p>
            <w:r>
              <w:t>Apply foundation models to Earth-observation analysis tasks</w:t>
            </w:r>
          </w:p>
        </w:tc>
        <w:tc>
          <w:tcPr>
            <w:tcW w:type="dxa" w:w="1728"/>
          </w:tcPr>
          <w:p>
            <w:r>
              <w:t>Large pretrained encoders adapted to remote-sensing tasks</w:t>
            </w:r>
          </w:p>
        </w:tc>
        <w:tc>
          <w:tcPr>
            <w:tcW w:type="dxa" w:w="1728"/>
          </w:tcPr>
          <w:p>
            <w:r>
              <w:t>+ Strong transfer, reduced labelling need</w:t>
              <w:br/>
              <w:t>− Typically single-task; retrieval and change handled separately</w:t>
            </w:r>
          </w:p>
        </w:tc>
        <w:tc>
          <w:tcPr>
            <w:tcW w:type="dxa" w:w="1728"/>
          </w:tcPr>
          <w:p>
            <w:r>
              <w:t>Foundation models transfer to EO, but retrieval and change analysis remain decoupled</w:t>
            </w:r>
          </w:p>
        </w:tc>
      </w:tr>
    </w:tbl>
    <w:p/>
    <w:p>
      <w:pPr>
        <w:pStyle w:val="Heading2"/>
      </w:pPr>
      <w:r>
        <w:t>4.1 Overall Literature Review — Research Gap</w:t>
      </w:r>
    </w:p>
    <w:p>
      <w:r>
        <w:rPr>
          <w:b/>
          <w:i w:val="0"/>
        </w:rPr>
        <w:t>Existing Research</w:t>
      </w:r>
    </w:p>
    <w:p>
      <w:pPr>
        <w:pStyle w:val="ListBullet"/>
      </w:pPr>
      <w:r>
        <w:t>Vision-language foundation models enable semantic retrieval without task-specific training</w:t>
      </w:r>
    </w:p>
    <w:p>
      <w:pPr>
        <w:pStyle w:val="ListBullet"/>
      </w:pPr>
      <w:r>
        <w:t>Siamese and attention-based networks are the dominant change-detection approach</w:t>
      </w:r>
    </w:p>
    <w:p>
      <w:pPr>
        <w:pStyle w:val="ListBullet"/>
      </w:pPr>
      <w:r>
        <w:t>Most change-detection methods require supervised training on annotated pairs</w:t>
      </w:r>
    </w:p>
    <w:p>
      <w:pPr>
        <w:pStyle w:val="ListBullet"/>
      </w:pPr>
      <w:r>
        <w:t>Retrieval and change detection are pursued as separate systems with separate representations</w:t>
      </w:r>
    </w:p>
    <w:p>
      <w:pPr>
        <w:pStyle w:val="ListBullet"/>
      </w:pPr>
      <w:r>
        <w:t>Evaluation commonly emphasises change recall and overall accuracy</w:t>
      </w:r>
    </w:p>
    <w:p>
      <w:r>
        <w:rPr>
          <w:b/>
          <w:i w:val="0"/>
        </w:rPr>
        <w:t>Proposed Project</w:t>
      </w:r>
    </w:p>
    <w:p>
      <w:pPr>
        <w:pStyle w:val="ListBullet"/>
      </w:pPr>
      <w:r>
        <w:t>One shared embedding space serves both retrieval and change analysis</w:t>
      </w:r>
    </w:p>
    <w:p>
      <w:pPr>
        <w:pStyle w:val="ListBullet"/>
      </w:pPr>
      <w:r>
        <w:t>Frozen pretrained encoders only — no training or fine-tuning</w:t>
      </w:r>
    </w:p>
    <w:p>
      <w:pPr>
        <w:pStyle w:val="ListBullet"/>
      </w:pPr>
      <w:r>
        <w:t>Explicit false-alarm suppression for season, illumination, cloud, shadow and radiometric drift</w:t>
      </w:r>
    </w:p>
    <w:p>
      <w:pPr>
        <w:pStyle w:val="ListBullet"/>
      </w:pPr>
      <w:r>
        <w:t>Precision under confound stress adopted as the primary evaluation target</w:t>
      </w:r>
    </w:p>
    <w:p>
      <w:pPr>
        <w:pStyle w:val="ListBullet"/>
      </w:pPr>
      <w:r>
        <w:t>Geospatial provenance preserved from ingestion through to reported results</w:t>
      </w:r>
    </w:p>
    <w:p>
      <w:r>
        <w:br w:type="page"/>
      </w:r>
    </w:p>
    <w:p>
      <w:pPr>
        <w:pStyle w:val="Heading1"/>
      </w:pPr>
      <w:r>
        <w:t>5. Technologies to be Used</w:t>
      </w:r>
    </w:p>
    <w:p>
      <w:r>
        <w:rPr>
          <w:b w:val="0"/>
          <w:i w:val="0"/>
        </w:rPr>
        <w:t>All models are pretrained and used for inference only. No training or fine-tuning is performed at any stage.</w:t>
      </w:r>
    </w:p>
    <w:p>
      <w:r>
        <w:rPr>
          <w:b/>
          <w:i w:val="0"/>
        </w:rPr>
        <w:t>Programming Language</w:t>
      </w:r>
    </w:p>
    <w:p>
      <w:pPr>
        <w:pStyle w:val="ListBullet"/>
      </w:pPr>
      <w:r>
        <w:t>Python 3.10+</w:t>
      </w:r>
    </w:p>
    <w:p>
      <w:r>
        <w:rPr>
          <w:b/>
          <w:i w:val="0"/>
        </w:rPr>
        <w:t>Core Libraries</w:t>
      </w:r>
    </w:p>
    <w:p>
      <w:pPr>
        <w:pStyle w:val="ListBullet"/>
      </w:pPr>
      <w:r>
        <w:t>PyTorch with open_clip / HuggingFace Transformers — frozen RemoteCLIP, CLIP or DINOv2 encoders</w:t>
      </w:r>
    </w:p>
    <w:p>
      <w:pPr>
        <w:pStyle w:val="ListBullet"/>
      </w:pPr>
      <w:r>
        <w:t>FAISS — vector indexing and nearest-neighbour similarity search</w:t>
      </w:r>
    </w:p>
    <w:p>
      <w:pPr>
        <w:pStyle w:val="ListBullet"/>
      </w:pPr>
      <w:r>
        <w:t>rasterio / GDAL — GeoTIFF and Cloud Optimized GeoTIFF reading, CRS and geo-metadata preservation</w:t>
      </w:r>
    </w:p>
    <w:p>
      <w:pPr>
        <w:pStyle w:val="ListBullet"/>
      </w:pPr>
      <w:r>
        <w:t>NumPy — vector mathematics, distance computation, masking</w:t>
      </w:r>
    </w:p>
    <w:p>
      <w:pPr>
        <w:pStyle w:val="ListBullet"/>
      </w:pPr>
      <w:r>
        <w:t>OpenCV and scikit-image — pixel-level refinement, morphology, SSIM, radiometric normalisation</w:t>
      </w:r>
    </w:p>
    <w:p>
      <w:pPr>
        <w:pStyle w:val="ListBullet"/>
      </w:pPr>
      <w:r>
        <w:t>scikit-learn — clustering for site discovery, metric computation</w:t>
      </w:r>
    </w:p>
    <w:p>
      <w:pPr>
        <w:pStyle w:val="ListBullet"/>
      </w:pPr>
      <w:r>
        <w:t>Matplotlib — before/after/mask panels, ranked-result grids, comparison charts</w:t>
      </w:r>
    </w:p>
    <w:p>
      <w:r>
        <w:rPr>
          <w:b/>
          <w:i w:val="0"/>
        </w:rPr>
        <w:t>Development Environment</w:t>
      </w:r>
    </w:p>
    <w:p>
      <w:pPr>
        <w:pStyle w:val="ListBullet"/>
      </w:pPr>
      <w:r>
        <w:t>Google Colab — free tier sufficient; GPU optional, CPU workable for the dataset sizes used</w:t>
      </w:r>
    </w:p>
    <w:p>
      <w:r>
        <w:rPr>
          <w:b/>
          <w:i w:val="0"/>
        </w:rPr>
        <w:t>Model Provenance</w:t>
      </w:r>
    </w:p>
    <w:p>
      <w:r>
        <w:rPr>
          <w:b w:val="0"/>
          <w:i w:val="0"/>
        </w:rPr>
        <w:t>The problem statement requires that the origin and licence of every pretrained model be declared and that weights be packaged for offline use. Model name, version, source URL and licence are recorded for each encoder used and reported in the Experimental Setup section.</w:t>
      </w:r>
    </w:p>
    <w:p>
      <w:r>
        <w:br w:type="page"/>
      </w:r>
    </w:p>
    <w:p>
      <w:pPr>
        <w:pStyle w:val="Heading1"/>
      </w:pPr>
      <w:r>
        <w:t>6. Datasets</w:t>
      </w:r>
    </w:p>
    <w:p>
      <w:r>
        <w:rPr>
          <w:b w:val="0"/>
          <w:i w:val="0"/>
        </w:rPr>
        <w:t>All datasets are publicly available and freely downloadable. No classified, operational or service-generated imagery is used.</w:t>
      </w:r>
    </w:p>
    <w:p>
      <w:pPr>
        <w:pStyle w:val="Heading2"/>
      </w:pPr>
      <w:r>
        <w:t>6.1 LEVIR-CD (Primary)</w:t>
      </w:r>
    </w:p>
    <w:p>
      <w:pPr>
        <w:pStyle w:val="ListBullet"/>
      </w:pPr>
      <w:r>
        <w:t>Size: 637 bitemporal image pairs, 1024 × 1024 pixels, approximately 0.5 m per pixel</w:t>
      </w:r>
    </w:p>
    <w:p>
      <w:pPr>
        <w:pStyle w:val="ListBullet"/>
      </w:pPr>
      <w:r>
        <w:t>Annotation: expert pixel-level binary change masks</w:t>
      </w:r>
    </w:p>
    <w:p>
      <w:pPr>
        <w:pStyle w:val="ListBullet"/>
      </w:pPr>
      <w:r>
        <w:t>Why we use it: large enough to make retrieval a genuine search problem, and the pairs are pre-aligned, which removes the geometric registration problem from scope</w:t>
      </w:r>
    </w:p>
    <w:p>
      <w:pPr>
        <w:pStyle w:val="ListBullet"/>
      </w:pPr>
      <w:r>
        <w:t>Metrics valid here: Precision@k, mAP, Precision, Recall, F1, IoU</w:t>
      </w:r>
    </w:p>
    <w:p>
      <w:pPr>
        <w:pStyle w:val="ListBullet"/>
      </w:pPr>
      <w:r>
        <w:t>URL: https://justchenhao.github.io/LEVIR/</w:t>
      </w:r>
    </w:p>
    <w:p>
      <w:pPr>
        <w:pStyle w:val="Heading2"/>
      </w:pPr>
      <w:r>
        <w:t>6.2 OSCD — Onera Satellite Change Detection (Secondary)</w:t>
      </w:r>
    </w:p>
    <w:p>
      <w:pPr>
        <w:pStyle w:val="ListBullet"/>
      </w:pPr>
      <w:r>
        <w:t>Size: 24 multispectral image pairs acquired by Sentinel-2 between 2015 and 2018</w:t>
      </w:r>
    </w:p>
    <w:p>
      <w:pPr>
        <w:pStyle w:val="ListBullet"/>
      </w:pPr>
      <w:r>
        <w:t>Annotation: pixel-level change ground truth focused on urban change</w:t>
      </w:r>
    </w:p>
    <w:p>
      <w:pPr>
        <w:pStyle w:val="ListBullet"/>
      </w:pPr>
      <w:r>
        <w:t>Why we use it: genuine Sentinel-2 multispectral data rather than high-resolution aerial crops, validating that the approach transfers to real satellite imagery</w:t>
      </w:r>
    </w:p>
    <w:p>
      <w:pPr>
        <w:pStyle w:val="ListBullet"/>
      </w:pPr>
      <w:r>
        <w:t>Metrics valid here: Precision, Recall, F1, IoU</w:t>
      </w:r>
    </w:p>
    <w:p>
      <w:pPr>
        <w:pStyle w:val="ListBullet"/>
      </w:pPr>
      <w:r>
        <w:t>URL: https://rcdaudt.github.io/oscd/</w:t>
      </w:r>
    </w:p>
    <w:p>
      <w:pPr>
        <w:pStyle w:val="Heading2"/>
      </w:pPr>
      <w:r>
        <w:t>6.3 Open Copernicus, Landsat and Bhuvan Imagery (Qualitative Demonstration Only)</w:t>
      </w:r>
    </w:p>
    <w:p>
      <w:pPr>
        <w:pStyle w:val="ListBullet"/>
      </w:pPr>
      <w:r>
        <w:t>Sources: Copernicus Sentinel-1/2 (https://dataspace.copernicus.eu/), USGS Landsat Collection 2 (https://earthexplorer.usgs.gov/), NRSC/ISRO Bhuvan (https://bhuvan-app3.nrsc.gov.in/data/download/)</w:t>
      </w:r>
    </w:p>
    <w:p>
      <w:pPr>
        <w:pStyle w:val="ListBullet"/>
      </w:pPr>
      <w:r>
        <w:t>Why we use them: these are the primary imagery sources named in the problem statement; demonstrating ingestion of them shows applicability to the intended operational data</w:t>
      </w:r>
    </w:p>
    <w:p>
      <w:pPr>
        <w:pStyle w:val="ListBullet"/>
      </w:pPr>
      <w:r>
        <w:t>Limitation: no change annotations are available for hand-selected tiles</w:t>
      </w:r>
    </w:p>
    <w:p>
      <w:pPr>
        <w:pStyle w:val="Heading2"/>
      </w:pPr>
      <w:r>
        <w:t>6.4 Metric Validity by Dataset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Precision@k / mAP</w:t>
            </w:r>
          </w:p>
        </w:tc>
        <w:tc>
          <w:tcPr>
            <w:tcW w:type="dxa" w:w="1728"/>
          </w:tcPr>
          <w:p>
            <w:r>
              <w:t>F1 / IoU</w:t>
            </w:r>
          </w:p>
        </w:tc>
        <w:tc>
          <w:tcPr>
            <w:tcW w:type="dxa" w:w="1728"/>
          </w:tcPr>
          <w:p>
            <w:r>
              <w:t>Confound stress test</w:t>
            </w:r>
          </w:p>
        </w:tc>
        <w:tc>
          <w:tcPr>
            <w:tcW w:type="dxa" w:w="1728"/>
          </w:tcPr>
          <w:p>
            <w:r>
              <w:t>Qualitative figures</w:t>
            </w:r>
          </w:p>
        </w:tc>
      </w:tr>
      <w:tr>
        <w:tc>
          <w:tcPr>
            <w:tcW w:type="dxa" w:w="1728"/>
          </w:tcPr>
          <w:p>
            <w:r>
              <w:t>LEVIR-CD</w:t>
            </w:r>
          </w:p>
        </w:tc>
        <w:tc>
          <w:tcPr>
            <w:tcW w:type="dxa" w:w="1728"/>
          </w:tcPr>
          <w:p>
            <w:r>
              <w:t>YES</w:t>
            </w:r>
          </w:p>
        </w:tc>
        <w:tc>
          <w:tcPr>
            <w:tcW w:type="dxa" w:w="1728"/>
          </w:tcPr>
          <w:p>
            <w:r>
              <w:t>YES</w:t>
            </w:r>
          </w:p>
        </w:tc>
        <w:tc>
          <w:tcPr>
            <w:tcW w:type="dxa" w:w="1728"/>
          </w:tcPr>
          <w:p>
            <w:r>
              <w:t>YES</w:t>
            </w:r>
          </w:p>
        </w:tc>
        <w:tc>
          <w:tcPr>
            <w:tcW w:type="dxa" w:w="1728"/>
          </w:tcPr>
          <w:p>
            <w:r>
              <w:t>YES</w:t>
            </w:r>
          </w:p>
        </w:tc>
      </w:tr>
      <w:tr>
        <w:tc>
          <w:tcPr>
            <w:tcW w:type="dxa" w:w="1728"/>
          </w:tcPr>
          <w:p>
            <w:r>
              <w:t>OSCD</w:t>
            </w:r>
          </w:p>
        </w:tc>
        <w:tc>
          <w:tcPr>
            <w:tcW w:type="dxa" w:w="1728"/>
          </w:tcPr>
          <w:p>
            <w:r>
              <w:t>YES</w:t>
            </w:r>
          </w:p>
        </w:tc>
        <w:tc>
          <w:tcPr>
            <w:tcW w:type="dxa" w:w="1728"/>
          </w:tcPr>
          <w:p>
            <w:r>
              <w:t>YES</w:t>
            </w:r>
          </w:p>
        </w:tc>
        <w:tc>
          <w:tcPr>
            <w:tcW w:type="dxa" w:w="1728"/>
          </w:tcPr>
          <w:p>
            <w:r>
              <w:t>YES</w:t>
            </w:r>
          </w:p>
        </w:tc>
        <w:tc>
          <w:tcPr>
            <w:tcW w:type="dxa" w:w="1728"/>
          </w:tcPr>
          <w:p>
            <w:r>
              <w:t>YES</w:t>
            </w:r>
          </w:p>
        </w:tc>
      </w:tr>
      <w:tr>
        <w:tc>
          <w:tcPr>
            <w:tcW w:type="dxa" w:w="1728"/>
          </w:tcPr>
          <w:p>
            <w:r>
              <w:t>Sentinel-2 / Landsat / Bhuvan tiles</w:t>
            </w:r>
          </w:p>
        </w:tc>
        <w:tc>
          <w:tcPr>
            <w:tcW w:type="dxa" w:w="1728"/>
          </w:tcPr>
          <w:p>
            <w:r>
              <w:t>NO</w:t>
            </w:r>
          </w:p>
        </w:tc>
        <w:tc>
          <w:tcPr>
            <w:tcW w:type="dxa" w:w="1728"/>
          </w:tcPr>
          <w:p>
            <w:r>
              <w:t>NO</w:t>
            </w:r>
          </w:p>
        </w:tc>
        <w:tc>
          <w:tcPr>
            <w:tcW w:type="dxa" w:w="1728"/>
          </w:tcPr>
          <w:p>
            <w:r>
              <w:t>NO</w:t>
            </w:r>
          </w:p>
        </w:tc>
        <w:tc>
          <w:tcPr>
            <w:tcW w:type="dxa" w:w="1728"/>
          </w:tcPr>
          <w:p>
            <w:r>
              <w:t>YES</w:t>
            </w:r>
          </w:p>
        </w:tc>
      </w:tr>
    </w:tbl>
    <w:p/>
    <w:p>
      <w:r>
        <w:rPr>
          <w:b/>
          <w:i w:val="0"/>
        </w:rPr>
        <w:t>Important:</w:t>
      </w:r>
    </w:p>
    <w:p>
      <w:r>
        <w:rPr>
          <w:b w:val="0"/>
          <w:i w:val="0"/>
        </w:rPr>
        <w:t>Quantitative results are reported only where annotated ground truth exists, that is on LEVIR-CD and OSCD. Imagery drawn directly from Copernicus, Landsat or Bhuvan is presented as qualitative demonstration only and does not appear in any metrics table. This restriction is stated explicitly in the Experimental Setup section of the report.</w:t>
      </w:r>
    </w:p>
    <w:p>
      <w:r>
        <w:br w:type="page"/>
      </w:r>
    </w:p>
    <w:p>
      <w:pPr>
        <w:pStyle w:val="Heading1"/>
      </w:pPr>
      <w:r>
        <w:t>7. Evaluation Plan</w:t>
      </w:r>
    </w:p>
    <w:p>
      <w:pPr>
        <w:pStyle w:val="Heading2"/>
      </w:pPr>
      <w:r>
        <w:t>7.1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Applies to</w:t>
            </w:r>
          </w:p>
        </w:tc>
        <w:tc>
          <w:tcPr>
            <w:tcW w:type="dxa" w:w="2160"/>
          </w:tcPr>
          <w:p>
            <w:r>
              <w:t>Direction</w:t>
            </w:r>
          </w:p>
        </w:tc>
        <w:tc>
          <w:tcPr>
            <w:tcW w:type="dxa" w:w="2160"/>
          </w:tcPr>
          <w:p>
            <w:r>
              <w:t>What it demonstrates</w:t>
            </w:r>
          </w:p>
        </w:tc>
      </w:tr>
      <w:tr>
        <w:tc>
          <w:tcPr>
            <w:tcW w:type="dxa" w:w="2160"/>
          </w:tcPr>
          <w:p>
            <w:r>
              <w:t>Precision@k (k = 1, 5, 10)</w:t>
            </w:r>
          </w:p>
        </w:tc>
        <w:tc>
          <w:tcPr>
            <w:tcW w:type="dxa" w:w="2160"/>
          </w:tcPr>
          <w:p>
            <w:r>
              <w:t>Retrieval</w:t>
            </w:r>
          </w:p>
        </w:tc>
        <w:tc>
          <w:tcPr>
            <w:tcW w:type="dxa" w:w="2160"/>
          </w:tcPr>
          <w:p>
            <w:r>
              <w:t>Higher is better</w:t>
            </w:r>
          </w:p>
        </w:tc>
        <w:tc>
          <w:tcPr>
            <w:tcW w:type="dxa" w:w="2160"/>
          </w:tcPr>
          <w:p>
            <w:r>
              <w:t>Top-ranked results are genuinely relevant</w:t>
            </w:r>
          </w:p>
        </w:tc>
      </w:tr>
      <w:tr>
        <w:tc>
          <w:tcPr>
            <w:tcW w:type="dxa" w:w="2160"/>
          </w:tcPr>
          <w:p>
            <w:r>
              <w:t>Mean Average Precision (mAP)</w:t>
            </w:r>
          </w:p>
        </w:tc>
        <w:tc>
          <w:tcPr>
            <w:tcW w:type="dxa" w:w="2160"/>
          </w:tcPr>
          <w:p>
            <w:r>
              <w:t>Retrieval</w:t>
            </w:r>
          </w:p>
        </w:tc>
        <w:tc>
          <w:tcPr>
            <w:tcW w:type="dxa" w:w="2160"/>
          </w:tcPr>
          <w:p>
            <w:r>
              <w:t>Higher is better</w:t>
            </w:r>
          </w:p>
        </w:tc>
        <w:tc>
          <w:tcPr>
            <w:tcW w:type="dxa" w:w="2160"/>
          </w:tcPr>
          <w:p>
            <w:r>
              <w:t>Overall ranking quality across queries</w:t>
            </w:r>
          </w:p>
        </w:tc>
      </w:tr>
      <w:tr>
        <w:tc>
          <w:tcPr>
            <w:tcW w:type="dxa" w:w="2160"/>
          </w:tcPr>
          <w:p>
            <w:r>
              <w:t>Precision</w:t>
            </w:r>
          </w:p>
        </w:tc>
        <w:tc>
          <w:tcPr>
            <w:tcW w:type="dxa" w:w="2160"/>
          </w:tcPr>
          <w:p>
            <w:r>
              <w:t>Change detection</w:t>
            </w:r>
          </w:p>
        </w:tc>
        <w:tc>
          <w:tcPr>
            <w:tcW w:type="dxa" w:w="2160"/>
          </w:tcPr>
          <w:p>
            <w:r>
              <w:t>Higher is better</w:t>
            </w:r>
          </w:p>
        </w:tc>
        <w:tc>
          <w:tcPr>
            <w:tcW w:type="dxa" w:w="2160"/>
          </w:tcPr>
          <w:p>
            <w:r>
              <w:t>Primary metric — reported change is real change</w:t>
            </w:r>
          </w:p>
        </w:tc>
      </w:tr>
      <w:tr>
        <w:tc>
          <w:tcPr>
            <w:tcW w:type="dxa" w:w="2160"/>
          </w:tcPr>
          <w:p>
            <w:r>
              <w:t>Recall</w:t>
            </w:r>
          </w:p>
        </w:tc>
        <w:tc>
          <w:tcPr>
            <w:tcW w:type="dxa" w:w="2160"/>
          </w:tcPr>
          <w:p>
            <w:r>
              <w:t>Change detection</w:t>
            </w:r>
          </w:p>
        </w:tc>
        <w:tc>
          <w:tcPr>
            <w:tcW w:type="dxa" w:w="2160"/>
          </w:tcPr>
          <w:p>
            <w:r>
              <w:t>Higher is better</w:t>
            </w:r>
          </w:p>
        </w:tc>
        <w:tc>
          <w:tcPr>
            <w:tcW w:type="dxa" w:w="2160"/>
          </w:tcPr>
          <w:p>
            <w:r>
              <w:t>Coverage of true change, reported for completeness</w:t>
            </w:r>
          </w:p>
        </w:tc>
      </w:tr>
      <w:tr>
        <w:tc>
          <w:tcPr>
            <w:tcW w:type="dxa" w:w="2160"/>
          </w:tcPr>
          <w:p>
            <w:r>
              <w:t>F1 Score</w:t>
            </w:r>
          </w:p>
        </w:tc>
        <w:tc>
          <w:tcPr>
            <w:tcW w:type="dxa" w:w="2160"/>
          </w:tcPr>
          <w:p>
            <w:r>
              <w:t>Change detection</w:t>
            </w:r>
          </w:p>
        </w:tc>
        <w:tc>
          <w:tcPr>
            <w:tcW w:type="dxa" w:w="2160"/>
          </w:tcPr>
          <w:p>
            <w:r>
              <w:t>Higher is better</w:t>
            </w:r>
          </w:p>
        </w:tc>
        <w:tc>
          <w:tcPr>
            <w:tcW w:type="dxa" w:w="2160"/>
          </w:tcPr>
          <w:p>
            <w:r>
              <w:t>Balance between missed change and false alarms</w:t>
            </w:r>
          </w:p>
        </w:tc>
      </w:tr>
      <w:tr>
        <w:tc>
          <w:tcPr>
            <w:tcW w:type="dxa" w:w="2160"/>
          </w:tcPr>
          <w:p>
            <w:r>
              <w:t>Intersection over Union</w:t>
            </w:r>
          </w:p>
        </w:tc>
        <w:tc>
          <w:tcPr>
            <w:tcW w:type="dxa" w:w="2160"/>
          </w:tcPr>
          <w:p>
            <w:r>
              <w:t>Change detection</w:t>
            </w:r>
          </w:p>
        </w:tc>
        <w:tc>
          <w:tcPr>
            <w:tcW w:type="dxa" w:w="2160"/>
          </w:tcPr>
          <w:p>
            <w:r>
              <w:t>Higher is better</w:t>
            </w:r>
          </w:p>
        </w:tc>
        <w:tc>
          <w:tcPr>
            <w:tcW w:type="dxa" w:w="2160"/>
          </w:tcPr>
          <w:p>
            <w:r>
              <w:t>Spatial agreement of the change mask</w:t>
            </w:r>
          </w:p>
        </w:tc>
      </w:tr>
      <w:tr>
        <w:tc>
          <w:tcPr>
            <w:tcW w:type="dxa" w:w="2160"/>
          </w:tcPr>
          <w:p>
            <w:r>
              <w:t>False-positive rate under confound stress</w:t>
            </w:r>
          </w:p>
        </w:tc>
        <w:tc>
          <w:tcPr>
            <w:tcW w:type="dxa" w:w="2160"/>
          </w:tcPr>
          <w:p>
            <w:r>
              <w:t>Change detection</w:t>
            </w:r>
          </w:p>
        </w:tc>
        <w:tc>
          <w:tcPr>
            <w:tcW w:type="dxa" w:w="2160"/>
          </w:tcPr>
          <w:p>
            <w:r>
              <w:t>Lower is better</w:t>
            </w:r>
          </w:p>
        </w:tc>
        <w:tc>
          <w:tcPr>
            <w:tcW w:type="dxa" w:w="2160"/>
          </w:tcPr>
          <w:p>
            <w:r>
              <w:t>Novelty metric — seasonal and illumination shifts are not reported as change</w:t>
            </w:r>
          </w:p>
        </w:tc>
      </w:tr>
      <w:tr>
        <w:tc>
          <w:tcPr>
            <w:tcW w:type="dxa" w:w="2160"/>
          </w:tcPr>
          <w:p>
            <w:r>
              <w:t>Index build time, query latency, storage footprint</w:t>
            </w:r>
          </w:p>
        </w:tc>
        <w:tc>
          <w:tcPr>
            <w:tcW w:type="dxa" w:w="2160"/>
          </w:tcPr>
          <w:p>
            <w:r>
              <w:t>System</w:t>
            </w:r>
          </w:p>
        </w:tc>
        <w:tc>
          <w:tcPr>
            <w:tcW w:type="dxa" w:w="2160"/>
          </w:tcPr>
          <w:p>
            <w:r>
              <w:t>Lower is better</w:t>
            </w:r>
          </w:p>
        </w:tc>
        <w:tc>
          <w:tcPr>
            <w:tcW w:type="dxa" w:w="2160"/>
          </w:tcPr>
          <w:p>
            <w:r>
              <w:t>Required by the problem statement's reproducible evaluation report</w:t>
            </w:r>
          </w:p>
        </w:tc>
      </w:tr>
    </w:tbl>
    <w:p/>
    <w:p>
      <w:pPr>
        <w:pStyle w:val="Heading2"/>
      </w:pPr>
      <w:r>
        <w:t>7.2 Baselines</w:t>
      </w:r>
    </w:p>
    <w:p>
      <w:r>
        <w:rPr>
          <w:b/>
          <w:i w:val="0"/>
        </w:rPr>
        <w:t>Retrieval baselines</w:t>
      </w:r>
    </w:p>
    <w:p>
      <w:pPr>
        <w:pStyle w:val="ListBullet"/>
      </w:pPr>
      <w:r>
        <w:t>Random ranking — sanity floor</w:t>
      </w:r>
    </w:p>
    <w:p>
      <w:pPr>
        <w:pStyle w:val="ListBullet"/>
      </w:pPr>
      <w:r>
        <w:t>Metadata-only filtering — represents a conventional catalogue</w:t>
      </w:r>
    </w:p>
    <w:p>
      <w:pPr>
        <w:pStyle w:val="ListBullet"/>
      </w:pPr>
      <w:r>
        <w:t>Generic CLIP — off-the-shelf natural-image embeddings</w:t>
      </w:r>
    </w:p>
    <w:p>
      <w:pPr>
        <w:pStyle w:val="ListBullet"/>
      </w:pPr>
      <w:r>
        <w:t>RemoteCLIP (proposed) — remote-sensing-tuned embeddings in the same pipeline</w:t>
      </w:r>
    </w:p>
    <w:p>
      <w:r>
        <w:rPr>
          <w:b/>
          <w:i w:val="0"/>
        </w:rPr>
        <w:t>Change-detection baselines</w:t>
      </w:r>
    </w:p>
    <w:p>
      <w:pPr>
        <w:pStyle w:val="ListBullet"/>
      </w:pPr>
      <w:r>
        <w:t>Pixel differencing with Otsu thresholding</w:t>
      </w:r>
    </w:p>
    <w:p>
      <w:pPr>
        <w:pStyle w:val="ListBullet"/>
      </w:pPr>
      <w:r>
        <w:t>Change Vector Analysis</w:t>
      </w:r>
    </w:p>
    <w:p>
      <w:pPr>
        <w:pStyle w:val="ListBullet"/>
      </w:pPr>
      <w:r>
        <w:t>SSIM-based structural differencing</w:t>
      </w:r>
    </w:p>
    <w:p>
      <w:pPr>
        <w:pStyle w:val="ListBullet"/>
      </w:pPr>
      <w:r>
        <w:t>Shared-space embedding differencing with suppression (proposed)</w:t>
      </w:r>
    </w:p>
    <w:p>
      <w:pPr>
        <w:pStyle w:val="Heading2"/>
      </w:pPr>
      <w:r>
        <w:t>7.3 Validation Gates</w:t>
      </w:r>
    </w:p>
    <w:p>
      <w:r>
        <w:rPr>
          <w:b w:val="0"/>
          <w:i w:val="0"/>
        </w:rPr>
        <w:t>Three gates are run before full development proceeds. They are pass/fail checks, not formalities.</w:t>
      </w:r>
    </w:p>
    <w:p>
      <w:pPr>
        <w:pStyle w:val="ListNumber"/>
      </w:pPr>
      <w:r>
        <w:t>Gate A — Retrieval: five held-out text queries over a 200-tile index; at least three must return a relevant tile within the top five.</w:t>
      </w:r>
    </w:p>
    <w:p>
      <w:pPr>
        <w:pStyle w:val="ListNumber"/>
      </w:pPr>
      <w:r>
        <w:t>Gate B — Change: on five annotated LEVIR-CD pairs, shared-space embedding differencing must achieve a higher F1 than pixel differencing with Otsu thresholding on at least three pairs.</w:t>
      </w:r>
    </w:p>
    <w:p>
      <w:pPr>
        <w:pStyle w:val="ListNumber"/>
      </w:pPr>
      <w:r>
        <w:t>Gate C — Confound suppression: on three no-change pairs exhibiting seasonal or illumination differences, the false-positive area produced by the proposed method must be lower than that of naive differencing on at least two pairs. Gate C directly validates the novelty claim; if it fails, the contribution is unsupported.</w:t>
      </w:r>
    </w:p>
    <w:p>
      <w:r>
        <w:br w:type="page"/>
      </w:r>
    </w:p>
    <w:p>
      <w:pPr>
        <w:pStyle w:val="Heading1"/>
      </w:pPr>
      <w:r>
        <w:t>8. Claims and Limitations</w:t>
      </w:r>
    </w:p>
    <w:tbl>
      <w:tblPr>
        <w:tblStyle w:val="LightGrid-Accent1"/>
        <w:tblW w:type="auto" w:w="0"/>
        <w:tblLook w:firstColumn="1" w:firstRow="1" w:lastColumn="0" w:lastRow="0" w:noHBand="0" w:noVBand="1" w:val="04A0"/>
      </w:tblPr>
      <w:tblGrid>
        <w:gridCol w:w="4320"/>
        <w:gridCol w:w="4320"/>
      </w:tblGrid>
      <w:tr>
        <w:tc>
          <w:tcPr>
            <w:tcW w:type="dxa" w:w="4320"/>
          </w:tcPr>
          <w:p>
            <w:r>
              <w:t>Not claimed</w:t>
            </w:r>
          </w:p>
        </w:tc>
        <w:tc>
          <w:tcPr>
            <w:tcW w:type="dxa" w:w="4320"/>
          </w:tcPr>
          <w:p>
            <w:r>
              <w:t>Stated instead</w:t>
            </w:r>
          </w:p>
        </w:tc>
      </w:tr>
      <w:tr>
        <w:tc>
          <w:tcPr>
            <w:tcW w:type="dxa" w:w="4320"/>
          </w:tcPr>
          <w:p>
            <w:r>
              <w:t>A complete operational geospatial intelligence system</w:t>
            </w:r>
          </w:p>
        </w:tc>
        <w:tc>
          <w:tcPr>
            <w:tcW w:type="dxa" w:w="4320"/>
          </w:tcPr>
          <w:p>
            <w:r>
              <w:t>The core computer-vision capabilities of PS SIH26227, implemented as a research prototype</w:t>
            </w:r>
          </w:p>
        </w:tc>
      </w:tr>
      <w:tr>
        <w:tc>
          <w:tcPr>
            <w:tcW w:type="dxa" w:w="4320"/>
          </w:tcPr>
          <w:p>
            <w:r>
              <w:t>A newly invented change-detection or retrieval model</w:t>
            </w:r>
          </w:p>
        </w:tc>
        <w:tc>
          <w:tcPr>
            <w:tcW w:type="dxa" w:w="4320"/>
          </w:tcPr>
          <w:p>
            <w:r>
              <w:t>Frozen pretrained encoders; the contribution is the shared-space coupling and evaluation protocol</w:t>
            </w:r>
          </w:p>
        </w:tc>
      </w:tr>
      <w:tr>
        <w:tc>
          <w:tcPr>
            <w:tcW w:type="dxa" w:w="4320"/>
          </w:tcPr>
          <w:p>
            <w:r>
              <w:t>Fully offline, on-premises, air-gapped operation</w:t>
            </w:r>
          </w:p>
        </w:tc>
        <w:tc>
          <w:tcPr>
            <w:tcW w:type="dxa" w:w="4320"/>
          </w:tcPr>
          <w:p>
            <w:r>
              <w:t>Offline deployment and incremental indexing (PS §2.2.6) are out of scope and noted as future work</w:t>
            </w:r>
          </w:p>
        </w:tc>
      </w:tr>
      <w:tr>
        <w:tc>
          <w:tcPr>
            <w:tcW w:type="dxa" w:w="4320"/>
          </w:tcPr>
          <w:p>
            <w:r>
              <w:t>Suppression of all possible false alarms</w:t>
            </w:r>
          </w:p>
        </w:tc>
        <w:tc>
          <w:tcPr>
            <w:tcW w:type="dxa" w:w="4320"/>
          </w:tcPr>
          <w:p>
            <w:r>
              <w:t>Suppression of a stated subset of confounds: cloud, shadow, illumination and radiometric drift</w:t>
            </w:r>
          </w:p>
        </w:tc>
      </w:tr>
      <w:tr>
        <w:tc>
          <w:tcPr>
            <w:tcW w:type="dxa" w:w="4320"/>
          </w:tcPr>
          <w:p>
            <w:r>
              <w:t>Evaluation on operational or service-generated imagery</w:t>
            </w:r>
          </w:p>
        </w:tc>
        <w:tc>
          <w:tcPr>
            <w:tcW w:type="dxa" w:w="4320"/>
          </w:tcPr>
          <w:p>
            <w:r>
              <w:t>Evaluation on public benchmarks and open Copernicus, Landsat and Bhuvan data only</w:t>
            </w:r>
          </w:p>
        </w:tc>
      </w:tr>
      <w:tr>
        <w:tc>
          <w:tcPr>
            <w:tcW w:type="dxa" w:w="4320"/>
          </w:tcPr>
          <w:p>
            <w:r>
              <w:t>High change recall as evidence of success</w:t>
            </w:r>
          </w:p>
        </w:tc>
        <w:tc>
          <w:tcPr>
            <w:tcW w:type="dxa" w:w="4320"/>
          </w:tcPr>
          <w:p>
            <w:r>
              <w:t>Precision-first evaluation, with recall trade-offs reported honestly</w:t>
            </w:r>
          </w:p>
        </w:tc>
      </w:tr>
    </w:tbl>
    <w:p/>
    <w:p>
      <w:pPr>
        <w:pStyle w:val="Heading2"/>
      </w:pPr>
      <w:r>
        <w:t>8.1 Known Limitations</w:t>
      </w:r>
    </w:p>
    <w:p>
      <w:pPr>
        <w:pStyle w:val="ListBullet"/>
      </w:pPr>
      <w:r>
        <w:t>Pre-aligned benchmark pairs are used, so general multi-sensor geometric registration is not solved; misregistration is handled only to the extent present in the benchmarks</w:t>
      </w:r>
    </w:p>
    <w:p>
      <w:pPr>
        <w:pStyle w:val="ListBullet"/>
      </w:pPr>
      <w:r>
        <w:t>Cloud and shadow masking uses simple radiometric gating rather than a dedicated cloud-mask product</w:t>
      </w:r>
    </w:p>
    <w:p>
      <w:pPr>
        <w:pStyle w:val="ListBullet"/>
      </w:pPr>
      <w:r>
        <w:t>Change typing relies on interpretable colour, texture and shape rules rather than a trained classifier</w:t>
      </w:r>
    </w:p>
    <w:p>
      <w:pPr>
        <w:pStyle w:val="ListBullet"/>
      </w:pPr>
      <w:r>
        <w:t>The analyst workflow, audit trail and feedback-driven reranking of PS §2.2.5 are not implemented</w:t>
      </w:r>
    </w:p>
    <w:p>
      <w:pPr>
        <w:pStyle w:val="ListBullet"/>
      </w:pPr>
      <w:r>
        <w:t>Index construction is static; incremental ingestion without a full rebuild is not implemented</w:t>
      </w:r>
    </w:p>
    <w:p/>
    <w:p>
      <w:r>
        <w:rPr>
          <w:i/>
          <w:sz w:val="18"/>
        </w:rPr>
        <w:t>BCSE407L Computer Vision RIL | Aligned to SIH26227 |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