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rFonts w:ascii="Arial" w:cs="Arial" w:eastAsia="Arial" w:hAnsi="Arial"/>
          <w:b/>
          <w:bCs/>
          <w:color w:val="5D1F1A"/>
          <w:sz w:val="44"/>
          <w:szCs w:val="44"/>
        </w:rPr>
        <w:t xml:space="preserve">Enterprise Risk Management Framework</w:t>
      </w:r>
    </w:p>
    <w:p>
      <w:pPr>
        <w:spacing w:after="100"/>
      </w:pPr>
      <w:r>
        <w:rPr>
          <w:color w:val="666666"/>
          <w:sz w:val="22"/>
          <w:szCs w:val="22"/>
        </w:rPr>
        <w:t xml:space="preserve">Bahrain Development Bank | Risk &amp; Compliance Practice</w:t>
      </w:r>
    </w:p>
    <w:p>
      <w:pPr>
        <w:spacing w:after="400"/>
      </w:pPr>
      <w:r>
        <w:rPr>
          <w:color w:val="999999"/>
          <w:sz w:val="18"/>
          <w:szCs w:val="18"/>
        </w:rPr>
        <w:t xml:space="preserve">Engagement ID: ME-RC-2023-0134  |  Kingdom of Bahrain  |  July 2023</w:t>
      </w:r>
    </w:p>
    <w:p>
      <w:pPr>
        <w:pStyle w:val="Heading1"/>
      </w:pPr>
      <w:r>
        <w:rPr>
          <w:b/>
          <w:bCs/>
          <w:color w:val="1A5276"/>
          <w:sz w:val="28"/>
          <w:szCs w:val="28"/>
        </w:rPr>
        <w:t xml:space="preserve">1. Background &amp; Scope</w:t>
      </w:r>
    </w:p>
    <w:p>
      <w:pPr>
        <w:spacing w:after="120"/>
      </w:pPr>
      <w:r>
        <w:rPr>
          <w:color w:val="2C2C2C"/>
          <w:sz w:val="20"/>
          <w:szCs w:val="20"/>
        </w:rPr>
        <w:t xml:space="preserve">EY Middle East was appointed to design and implement an Enterprise Risk Management (ERM) framework for Bahrain Development Bank (BDB), a government-owned development finance institution with a loan portfolio of BHD 620 million. The engagement was driven by the Central Bank of Bahrain (CBB) requirement for enhanced risk governance and BDB's strategic growth plan to double its portfolio by 2027.</w:t>
      </w:r>
    </w:p>
    <w:p>
      <w:pPr>
        <w:spacing w:after="120"/>
      </w:pPr>
      <w:r>
        <w:rPr>
          <w:color w:val="2C2C2C"/>
          <w:sz w:val="20"/>
          <w:szCs w:val="20"/>
        </w:rPr>
        <w:t xml:space="preserve">The scope covered all material risk categories: credit risk, market risk, liquidity risk, operational risk, strategic risk, and reputational risk. The framework was designed to be consistent with Basel III principles, CBB Rule Book requirements, and ISO 31000 risk management standards.</w:t>
      </w:r>
    </w:p>
    <w:p>
      <w:pPr>
        <w:pStyle w:val="Heading1"/>
      </w:pPr>
      <w:r>
        <w:rPr>
          <w:b/>
          <w:bCs/>
          <w:color w:val="1A5276"/>
          <w:sz w:val="28"/>
          <w:szCs w:val="28"/>
        </w:rPr>
        <w:t xml:space="preserve">2. Risk Universe</w:t>
      </w:r>
    </w:p>
    <w:p>
      <w:pPr>
        <w:pStyle w:val="Heading2"/>
      </w:pPr>
      <w:r>
        <w:rPr>
          <w:b/>
          <w:bCs/>
          <w:color w:val="2874A6"/>
          <w:sz w:val="22"/>
          <w:szCs w:val="22"/>
        </w:rPr>
        <w:t xml:space="preserve">2.1 Risk Category Assessment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2808"/>
      </w:tblGrid>
      <w:tr>
        <w:tc>
          <w:tcPr>
            <w:tcW w:type="dxa" w:w="2808"/>
            <w:tcBorders>
              <w:top w:val="single" w:color="CCCCCC" w:sz="1"/>
              <w:left w:val="single" w:color="CCCCCC" w:sz="1"/>
              <w:bottom w:val="single" w:color="CCCCCC" w:sz="1"/>
              <w:right w:val="single" w:color="CCCCCC" w:sz="1"/>
            </w:tcBorders>
            <w:shd w:fill="5D1F1A" w:val="clear"/>
            <w:tcMar>
              <w:top w:type="dxa" w:w="80"/>
              <w:left w:type="dxa" w:w="120"/>
              <w:bottom w:type="dxa" w:w="80"/>
              <w:right w:type="dxa" w:w="120"/>
            </w:tcMar>
          </w:tcPr>
          <w:p>
            <w:r>
              <w:rPr>
                <w:b/>
                <w:bCs/>
                <w:color w:val="FFFFFF"/>
                <w:sz w:val="18"/>
                <w:szCs w:val="18"/>
              </w:rPr>
              <w:t xml:space="preserve">Risk Category</w:t>
            </w:r>
          </w:p>
        </w:tc>
        <w:tc>
          <w:tcPr>
            <w:tcW w:type="dxa" w:w="1872"/>
            <w:tcBorders>
              <w:top w:val="single" w:color="CCCCCC" w:sz="1"/>
              <w:left w:val="single" w:color="CCCCCC" w:sz="1"/>
              <w:bottom w:val="single" w:color="CCCCCC" w:sz="1"/>
              <w:right w:val="single" w:color="CCCCCC" w:sz="1"/>
            </w:tcBorders>
            <w:shd w:fill="5D1F1A" w:val="clear"/>
            <w:tcMar>
              <w:top w:type="dxa" w:w="80"/>
              <w:left w:type="dxa" w:w="120"/>
              <w:bottom w:type="dxa" w:w="80"/>
              <w:right w:type="dxa" w:w="120"/>
            </w:tcMar>
          </w:tcPr>
          <w:p>
            <w:r>
              <w:rPr>
                <w:b/>
                <w:bCs/>
                <w:color w:val="FFFFFF"/>
                <w:sz w:val="18"/>
                <w:szCs w:val="18"/>
              </w:rPr>
              <w:t xml:space="preserve">Inherent Risk</w:t>
            </w:r>
          </w:p>
        </w:tc>
        <w:tc>
          <w:tcPr>
            <w:tcW w:type="dxa" w:w="1872"/>
            <w:tcBorders>
              <w:top w:val="single" w:color="CCCCCC" w:sz="1"/>
              <w:left w:val="single" w:color="CCCCCC" w:sz="1"/>
              <w:bottom w:val="single" w:color="CCCCCC" w:sz="1"/>
              <w:right w:val="single" w:color="CCCCCC" w:sz="1"/>
            </w:tcBorders>
            <w:shd w:fill="5D1F1A" w:val="clear"/>
            <w:tcMar>
              <w:top w:type="dxa" w:w="80"/>
              <w:left w:type="dxa" w:w="120"/>
              <w:bottom w:type="dxa" w:w="80"/>
              <w:right w:type="dxa" w:w="120"/>
            </w:tcMar>
          </w:tcPr>
          <w:p>
            <w:r>
              <w:rPr>
                <w:b/>
                <w:bCs/>
                <w:color w:val="FFFFFF"/>
                <w:sz w:val="18"/>
                <w:szCs w:val="18"/>
              </w:rPr>
              <w:t xml:space="preserve">Control Effectiveness</w:t>
            </w:r>
          </w:p>
        </w:tc>
        <w:tc>
          <w:tcPr>
            <w:tcW w:type="dxa" w:w="2808"/>
            <w:tcBorders>
              <w:top w:val="single" w:color="CCCCCC" w:sz="1"/>
              <w:left w:val="single" w:color="CCCCCC" w:sz="1"/>
              <w:bottom w:val="single" w:color="CCCCCC" w:sz="1"/>
              <w:right w:val="single" w:color="CCCCCC" w:sz="1"/>
            </w:tcBorders>
            <w:shd w:fill="5D1F1A" w:val="clear"/>
            <w:tcMar>
              <w:top w:type="dxa" w:w="80"/>
              <w:left w:type="dxa" w:w="120"/>
              <w:bottom w:type="dxa" w:w="80"/>
              <w:right w:type="dxa" w:w="120"/>
            </w:tcMar>
          </w:tcPr>
          <w:p>
            <w:r>
              <w:rPr>
                <w:b/>
                <w:bCs/>
                <w:color w:val="FFFFFF"/>
                <w:sz w:val="18"/>
                <w:szCs w:val="18"/>
              </w:rPr>
              <w:t xml:space="preserve">Residual Risk</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Credit Risk - SME Portfolio</w:t>
            </w:r>
          </w:p>
        </w:tc>
        <w:tc>
          <w:tcPr>
            <w:tcW w:type="dxa" w:w="1872"/>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val="false"/>
                <w:bCs w:val="false"/>
                <w:color w:val="222222"/>
                <w:sz w:val="18"/>
                <w:szCs w:val="18"/>
              </w:rPr>
              <w:t xml:space="preserve">High</w:t>
            </w:r>
          </w:p>
        </w:tc>
        <w:tc>
          <w:tcPr>
            <w:tcW w:type="dxa" w:w="1872"/>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val="false"/>
                <w:bCs w:val="false"/>
                <w:color w:val="222222"/>
                <w:sz w:val="18"/>
                <w:szCs w:val="18"/>
              </w:rPr>
              <w:t xml:space="preserve">Moderate</w:t>
            </w:r>
          </w:p>
        </w:tc>
        <w:tc>
          <w:tcPr>
            <w:tcW w:type="dxa" w:w="2808"/>
            <w:tcBorders>
              <w:top w:val="single" w:color="CCCCCC" w:sz="1"/>
              <w:left w:val="single" w:color="CCCCCC" w:sz="1"/>
              <w:bottom w:val="single" w:color="CCCCCC" w:sz="1"/>
              <w:right w:val="single" w:color="CCCCCC" w:sz="1"/>
            </w:tcBorders>
            <w:shd w:fill="FFE8CD" w:val="clear"/>
            <w:tcMar>
              <w:top w:type="dxa" w:w="80"/>
              <w:left w:type="dxa" w:w="120"/>
              <w:bottom w:type="dxa" w:w="80"/>
              <w:right w:type="dxa" w:w="120"/>
            </w:tcMar>
          </w:tcPr>
          <w:p>
            <w:r>
              <w:rPr>
                <w:b w:val="false"/>
                <w:bCs w:val="false"/>
                <w:color w:val="222222"/>
                <w:sz w:val="18"/>
                <w:szCs w:val="18"/>
              </w:rPr>
              <w:t xml:space="preserve">Medium-High</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22222"/>
                <w:sz w:val="18"/>
                <w:szCs w:val="18"/>
              </w:rPr>
              <w:t xml:space="preserve">Liquidity Risk</w:t>
            </w:r>
          </w:p>
        </w:tc>
        <w:tc>
          <w:tcPr>
            <w:tcW w:type="dxa" w:w="1872"/>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b w:val="false"/>
                <w:bCs w:val="false"/>
                <w:color w:val="222222"/>
                <w:sz w:val="18"/>
                <w:szCs w:val="18"/>
              </w:rPr>
              <w:t xml:space="preserve">Medium</w:t>
            </w:r>
          </w:p>
        </w:tc>
        <w:tc>
          <w:tcPr>
            <w:tcW w:type="dxa" w:w="1872"/>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b w:val="false"/>
                <w:bCs w:val="false"/>
                <w:color w:val="222222"/>
                <w:sz w:val="18"/>
                <w:szCs w:val="18"/>
              </w:rPr>
              <w:t xml:space="preserve">Adequate</w:t>
            </w:r>
          </w:p>
        </w:tc>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22222"/>
                <w:sz w:val="18"/>
                <w:szCs w:val="18"/>
              </w:rPr>
              <w:t xml:space="preserve">Medium</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Operational Risk</w:t>
            </w:r>
          </w:p>
        </w:tc>
        <w:tc>
          <w:tcPr>
            <w:tcW w:type="dxa" w:w="1872"/>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b w:val="false"/>
                <w:bCs w:val="false"/>
                <w:color w:val="222222"/>
                <w:sz w:val="18"/>
                <w:szCs w:val="18"/>
              </w:rPr>
              <w:t xml:space="preserve">Medium</w:t>
            </w:r>
          </w:p>
        </w:tc>
        <w:tc>
          <w:tcPr>
            <w:tcW w:type="dxa" w:w="1872"/>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val="false"/>
                <w:bCs w:val="false"/>
                <w:color w:val="222222"/>
                <w:sz w:val="18"/>
                <w:szCs w:val="18"/>
              </w:rPr>
              <w:t xml:space="preserve">Moderate</w:t>
            </w:r>
          </w:p>
        </w:tc>
        <w:tc>
          <w:tcPr>
            <w:tcW w:type="dxa" w:w="2808"/>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b w:val="false"/>
                <w:bCs w:val="false"/>
                <w:color w:val="222222"/>
                <w:sz w:val="18"/>
                <w:szCs w:val="18"/>
              </w:rPr>
              <w:t xml:space="preserve">Medium</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22222"/>
                <w:sz w:val="18"/>
                <w:szCs w:val="18"/>
              </w:rPr>
              <w:t xml:space="preserve">Cyber &amp; IT Risk</w:t>
            </w:r>
          </w:p>
        </w:tc>
        <w:tc>
          <w:tcPr>
            <w:tcW w:type="dxa" w:w="1872"/>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val="false"/>
                <w:bCs w:val="false"/>
                <w:color w:val="222222"/>
                <w:sz w:val="18"/>
                <w:szCs w:val="18"/>
              </w:rPr>
              <w:t xml:space="preserve">High</w:t>
            </w:r>
          </w:p>
        </w:tc>
        <w:tc>
          <w:tcPr>
            <w:tcW w:type="dxa" w:w="1872"/>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val="false"/>
                <w:bCs w:val="false"/>
                <w:color w:val="222222"/>
                <w:sz w:val="18"/>
                <w:szCs w:val="18"/>
              </w:rPr>
              <w:t xml:space="preserve">Weak</w:t>
            </w:r>
          </w:p>
        </w:tc>
        <w:tc>
          <w:tcPr>
            <w:tcW w:type="dxa" w:w="2808"/>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b w:val="false"/>
                <w:bCs w:val="false"/>
                <w:color w:val="222222"/>
                <w:sz w:val="18"/>
                <w:szCs w:val="18"/>
              </w:rPr>
              <w:t xml:space="preserve">High - Needs Attention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Regulatory/Compliance</w:t>
            </w:r>
          </w:p>
        </w:tc>
        <w:tc>
          <w:tcPr>
            <w:tcW w:type="dxa" w:w="1872"/>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r>
              <w:rPr>
                <w:b w:val="false"/>
                <w:bCs w:val="false"/>
                <w:color w:val="222222"/>
                <w:sz w:val="18"/>
                <w:szCs w:val="18"/>
              </w:rPr>
              <w:t xml:space="preserve">Medium</w:t>
            </w:r>
          </w:p>
        </w:tc>
        <w:tc>
          <w:tcPr>
            <w:tcW w:type="dxa" w:w="1872"/>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b w:val="false"/>
                <w:bCs w:val="false"/>
                <w:color w:val="222222"/>
                <w:sz w:val="18"/>
                <w:szCs w:val="18"/>
              </w:rPr>
              <w:t xml:space="preserve">Adequate</w:t>
            </w:r>
          </w:p>
        </w:tc>
        <w:tc>
          <w:tcPr>
            <w:tcW w:type="dxa" w:w="2808"/>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b w:val="false"/>
                <w:bCs w:val="false"/>
                <w:color w:val="222222"/>
                <w:sz w:val="18"/>
                <w:szCs w:val="18"/>
              </w:rPr>
              <w:t xml:space="preserve">Low-Medium</w:t>
            </w:r>
          </w:p>
        </w:tc>
      </w:tr>
    </w:tbl>
    <w:p>
      <w:r>
        <w:t xml:space="preserve"/>
      </w:r>
    </w:p>
    <w:p>
      <w:pPr>
        <w:pStyle w:val="Heading1"/>
      </w:pPr>
      <w:r>
        <w:rPr>
          <w:b/>
          <w:bCs/>
          <w:color w:val="1A5276"/>
          <w:sz w:val="28"/>
          <w:szCs w:val="28"/>
        </w:rPr>
        <w:t xml:space="preserve">3. Framework Design</w:t>
      </w:r>
    </w:p>
    <w:p>
      <w:pPr>
        <w:pStyle w:val="Heading2"/>
      </w:pPr>
      <w:r>
        <w:rPr>
          <w:b/>
          <w:bCs/>
          <w:color w:val="2874A6"/>
          <w:sz w:val="22"/>
          <w:szCs w:val="22"/>
        </w:rPr>
        <w:t xml:space="preserve">3.1 Three Lines of Defence</w:t>
      </w:r>
    </w:p>
    <w:p>
      <w:pPr>
        <w:spacing w:after="120"/>
      </w:pPr>
      <w:r>
        <w:rPr>
          <w:color w:val="2C2C2C"/>
          <w:sz w:val="20"/>
          <w:szCs w:val="20"/>
        </w:rPr>
        <w:t xml:space="preserve">The ERM framework is structured on the Three Lines of Defence model:</w:t>
      </w:r>
    </w:p>
    <w:p>
      <w:pPr>
        <w:pStyle w:val="ListParagraph"/>
        <w:numPr>
          <w:ilvl w:val="0"/>
          <w:numId w:val="2"/>
        </w:numPr>
      </w:pPr>
      <w:r>
        <w:rPr>
          <w:color w:val="2C2C2C"/>
          <w:sz w:val="20"/>
          <w:szCs w:val="20"/>
        </w:rPr>
        <w:t xml:space="preserve">First Line: Business units with embedded risk owners; risk appetite statements and KRI dashboards per division</w:t>
      </w:r>
    </w:p>
    <w:p>
      <w:pPr>
        <w:pStyle w:val="ListParagraph"/>
        <w:numPr>
          <w:ilvl w:val="0"/>
          <w:numId w:val="2"/>
        </w:numPr>
      </w:pPr>
      <w:r>
        <w:rPr>
          <w:color w:val="2C2C2C"/>
          <w:sz w:val="20"/>
          <w:szCs w:val="20"/>
        </w:rPr>
        <w:t xml:space="preserve">Second Line: Enterprise Risk Management function with independent risk oversight; quarterly risk committee reporting</w:t>
      </w:r>
    </w:p>
    <w:p>
      <w:pPr>
        <w:pStyle w:val="ListParagraph"/>
        <w:numPr>
          <w:ilvl w:val="0"/>
          <w:numId w:val="2"/>
        </w:numPr>
      </w:pPr>
      <w:r>
        <w:rPr>
          <w:color w:val="2C2C2C"/>
          <w:sz w:val="20"/>
          <w:szCs w:val="20"/>
        </w:rPr>
        <w:t xml:space="preserve">Third Line: Internal Audit with risk-based audit plan; annual assurance mapping to ERM framework</w:t>
      </w:r>
    </w:p>
    <w:p>
      <w:r>
        <w:t xml:space="preserve"/>
      </w:r>
    </w:p>
    <w:p>
      <w:pPr>
        <w:pStyle w:val="Heading2"/>
      </w:pPr>
      <w:r>
        <w:rPr>
          <w:b/>
          <w:bCs/>
          <w:color w:val="2874A6"/>
          <w:sz w:val="22"/>
          <w:szCs w:val="22"/>
        </w:rPr>
        <w:t xml:space="preserve">3.2 Risk Appetite Framework</w:t>
      </w:r>
    </w:p>
    <w:p>
      <w:pPr>
        <w:spacing w:after="120"/>
      </w:pPr>
      <w:r>
        <w:rPr>
          <w:color w:val="2C2C2C"/>
          <w:sz w:val="20"/>
          <w:szCs w:val="20"/>
        </w:rPr>
        <w:t xml:space="preserve">EY facilitated Board-level workshops to establish a quantitative risk appetite framework with 24 risk appetite statements across six categories. Key thresholds established: Non-Performing Loan ratio not to exceed 8%, Capital Adequacy Ratio minimum 14%, Liquidity Coverage Ratio minimum 120%, and Operational Loss not to exceed BHD 3M annually.</w:t>
      </w:r>
    </w:p>
    <w:p>
      <w:pPr>
        <w:pStyle w:val="Heading2"/>
      </w:pPr>
      <w:r>
        <w:rPr>
          <w:b/>
          <w:bCs/>
          <w:color w:val="2874A6"/>
          <w:sz w:val="22"/>
          <w:szCs w:val="22"/>
        </w:rPr>
        <w:t xml:space="preserve">3.3 Key Risk Indicators</w:t>
      </w:r>
    </w:p>
    <w:p>
      <w:pPr>
        <w:spacing w:after="120"/>
      </w:pPr>
      <w:r>
        <w:rPr>
          <w:color w:val="2C2C2C"/>
          <w:sz w:val="20"/>
          <w:szCs w:val="20"/>
        </w:rPr>
        <w:t xml:space="preserve">A library of 67 Key Risk Indicators (KRIs) was developed with associated thresholds (green/amber/red), reporting frequency, and ownership assignment. Monthly risk dashboard reporting was designed for the Risk Committee and quarterly consolidated reporting for the Board Risk &amp; Audit Committee.</w:t>
      </w:r>
    </w:p>
    <w:p>
      <w:pPr>
        <w:pStyle w:val="Heading1"/>
      </w:pPr>
      <w:r>
        <w:rPr>
          <w:b/>
          <w:bCs/>
          <w:color w:val="1A5276"/>
          <w:sz w:val="28"/>
          <w:szCs w:val="28"/>
        </w:rPr>
        <w:t xml:space="preserve">4. Credit Risk Deep Dive</w:t>
      </w:r>
    </w:p>
    <w:p>
      <w:pPr>
        <w:spacing w:after="120"/>
      </w:pPr>
      <w:r>
        <w:rPr>
          <w:color w:val="2C2C2C"/>
          <w:sz w:val="20"/>
          <w:szCs w:val="20"/>
        </w:rPr>
        <w:t xml:space="preserve">Given BDB's mandate to lend to developmental and SME segments, credit risk represents the primary risk exposure. EY reviewed the existing credit policy and identified the following enhancements:</w:t>
      </w:r>
    </w:p>
    <w:p>
      <w:pPr>
        <w:pStyle w:val="ListParagraph"/>
        <w:numPr>
          <w:ilvl w:val="0"/>
          <w:numId w:val="2"/>
        </w:numPr>
      </w:pPr>
      <w:r>
        <w:rPr>
          <w:color w:val="2C2C2C"/>
          <w:sz w:val="20"/>
          <w:szCs w:val="20"/>
        </w:rPr>
        <w:t xml:space="preserve">Introduce sector-level concentration limits (no single sector to exceed 25% of portfolio)</w:t>
      </w:r>
    </w:p>
    <w:p>
      <w:pPr>
        <w:pStyle w:val="ListParagraph"/>
        <w:numPr>
          <w:ilvl w:val="0"/>
          <w:numId w:val="2"/>
        </w:numPr>
      </w:pPr>
      <w:r>
        <w:rPr>
          <w:color w:val="2C2C2C"/>
          <w:sz w:val="20"/>
          <w:szCs w:val="20"/>
        </w:rPr>
        <w:t xml:space="preserve">Implement early warning indicator system covering 12 financial and non-financial signals</w:t>
      </w:r>
    </w:p>
    <w:p>
      <w:pPr>
        <w:pStyle w:val="ListParagraph"/>
        <w:numPr>
          <w:ilvl w:val="0"/>
          <w:numId w:val="2"/>
        </w:numPr>
      </w:pPr>
      <w:r>
        <w:rPr>
          <w:color w:val="2C2C2C"/>
          <w:sz w:val="20"/>
          <w:szCs w:val="20"/>
        </w:rPr>
        <w:t xml:space="preserve">Enhance collateral management procedures - appraisal refresh cycles reduced from 3 years to 18 months</w:t>
      </w:r>
    </w:p>
    <w:p>
      <w:pPr>
        <w:pStyle w:val="ListParagraph"/>
        <w:numPr>
          <w:ilvl w:val="0"/>
          <w:numId w:val="2"/>
        </w:numPr>
      </w:pPr>
      <w:r>
        <w:rPr>
          <w:color w:val="2C2C2C"/>
          <w:sz w:val="20"/>
          <w:szCs w:val="20"/>
        </w:rPr>
        <w:t xml:space="preserve">Establish a Watchlist Committee for credits showing 2+ amber KRI triggers</w:t>
      </w:r>
    </w:p>
    <w:p>
      <w:pPr>
        <w:pStyle w:val="ListParagraph"/>
        <w:numPr>
          <w:ilvl w:val="0"/>
          <w:numId w:val="2"/>
        </w:numPr>
      </w:pPr>
      <w:r>
        <w:rPr>
          <w:color w:val="2C2C2C"/>
          <w:sz w:val="20"/>
          <w:szCs w:val="20"/>
        </w:rPr>
        <w:t xml:space="preserve">Develop expected credit loss model per IFRS 9 with CBB-approved methodology</w:t>
      </w:r>
    </w:p>
    <w:p>
      <w:r>
        <w:t xml:space="preserve"/>
      </w:r>
    </w:p>
    <w:p>
      <w:pPr>
        <w:pStyle w:val="Heading1"/>
      </w:pPr>
      <w:r>
        <w:rPr>
          <w:b/>
          <w:bCs/>
          <w:color w:val="1A5276"/>
          <w:sz w:val="28"/>
          <w:szCs w:val="28"/>
        </w:rPr>
        <w:t xml:space="preserve">5. 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340"/>
        <w:gridCol w:w="1560"/>
        <w:gridCol w:w="1716"/>
      </w:tblGrid>
      <w:tr>
        <w:tc>
          <w:tcPr>
            <w:tcW w:type="dxa" w:w="3744"/>
            <w:tcBorders>
              <w:top w:val="single" w:color="CCCCCC" w:sz="1"/>
              <w:left w:val="single" w:color="CCCCCC" w:sz="1"/>
              <w:bottom w:val="single" w:color="CCCCCC" w:sz="1"/>
              <w:right w:val="single" w:color="CCCCCC" w:sz="1"/>
            </w:tcBorders>
            <w:shd w:fill="5D1F1A" w:val="clear"/>
            <w:tcMar>
              <w:top w:type="dxa" w:w="80"/>
              <w:left w:type="dxa" w:w="120"/>
              <w:bottom w:type="dxa" w:w="80"/>
              <w:right w:type="dxa" w:w="120"/>
            </w:tcMar>
          </w:tcPr>
          <w:p>
            <w:r>
              <w:rPr>
                <w:b/>
                <w:bCs/>
                <w:color w:val="FFFFFF"/>
                <w:sz w:val="18"/>
                <w:szCs w:val="18"/>
              </w:rPr>
              <w:t xml:space="preserve">Deliverable</w:t>
            </w:r>
          </w:p>
        </w:tc>
        <w:tc>
          <w:tcPr>
            <w:tcW w:type="dxa" w:w="2340"/>
            <w:tcBorders>
              <w:top w:val="single" w:color="CCCCCC" w:sz="1"/>
              <w:left w:val="single" w:color="CCCCCC" w:sz="1"/>
              <w:bottom w:val="single" w:color="CCCCCC" w:sz="1"/>
              <w:right w:val="single" w:color="CCCCCC" w:sz="1"/>
            </w:tcBorders>
            <w:shd w:fill="5D1F1A" w:val="clear"/>
            <w:tcMar>
              <w:top w:type="dxa" w:w="80"/>
              <w:left w:type="dxa" w:w="120"/>
              <w:bottom w:type="dxa" w:w="80"/>
              <w:right w:type="dxa" w:w="120"/>
            </w:tcMar>
          </w:tcPr>
          <w:p>
            <w:r>
              <w:rPr>
                <w:b/>
                <w:bCs/>
                <w:color w:val="FFFFFF"/>
                <w:sz w:val="18"/>
                <w:szCs w:val="18"/>
              </w:rPr>
              <w:t xml:space="preserve">Timeline</w:t>
            </w:r>
          </w:p>
        </w:tc>
        <w:tc>
          <w:tcPr>
            <w:tcW w:type="dxa" w:w="1560"/>
            <w:tcBorders>
              <w:top w:val="single" w:color="CCCCCC" w:sz="1"/>
              <w:left w:val="single" w:color="CCCCCC" w:sz="1"/>
              <w:bottom w:val="single" w:color="CCCCCC" w:sz="1"/>
              <w:right w:val="single" w:color="CCCCCC" w:sz="1"/>
            </w:tcBorders>
            <w:shd w:fill="5D1F1A" w:val="clear"/>
            <w:tcMar>
              <w:top w:type="dxa" w:w="80"/>
              <w:left w:type="dxa" w:w="120"/>
              <w:bottom w:type="dxa" w:w="80"/>
              <w:right w:type="dxa" w:w="120"/>
            </w:tcMar>
          </w:tcPr>
          <w:p>
            <w:r>
              <w:rPr>
                <w:b/>
                <w:bCs/>
                <w:color w:val="FFFFFF"/>
                <w:sz w:val="18"/>
                <w:szCs w:val="18"/>
              </w:rPr>
              <w:t xml:space="preserve">Status</w:t>
            </w:r>
          </w:p>
        </w:tc>
        <w:tc>
          <w:tcPr>
            <w:tcW w:type="dxa" w:w="1716"/>
            <w:tcBorders>
              <w:top w:val="single" w:color="CCCCCC" w:sz="1"/>
              <w:left w:val="single" w:color="CCCCCC" w:sz="1"/>
              <w:bottom w:val="single" w:color="CCCCCC" w:sz="1"/>
              <w:right w:val="single" w:color="CCCCCC" w:sz="1"/>
            </w:tcBorders>
            <w:shd w:fill="5D1F1A" w:val="clear"/>
            <w:tcMar>
              <w:top w:type="dxa" w:w="80"/>
              <w:left w:type="dxa" w:w="120"/>
              <w:bottom w:type="dxa" w:w="80"/>
              <w:right w:type="dxa" w:w="120"/>
            </w:tcMar>
          </w:tcPr>
          <w:p>
            <w:r>
              <w:rPr>
                <w:b/>
                <w:bCs/>
                <w:color w:val="FFFFFF"/>
                <w:sz w:val="18"/>
                <w:szCs w:val="18"/>
              </w:rPr>
              <w:t xml:space="preserve">Owner</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Risk Appetite Framework Board Approval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Q3 2023</w:t>
            </w:r>
          </w:p>
        </w:tc>
        <w:tc>
          <w:tcPr>
            <w:tcW w:type="dxa" w:w="1560"/>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b w:val="false"/>
                <w:bCs w:val="false"/>
                <w:color w:val="222222"/>
                <w:sz w:val="18"/>
                <w:szCs w:val="18"/>
              </w:rPr>
              <w:t xml:space="preserve">Complete</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CRO</w:t>
            </w:r>
          </w:p>
        </w:tc>
      </w:tr>
      <w:tr>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22222"/>
                <w:sz w:val="18"/>
                <w:szCs w:val="18"/>
              </w:rPr>
              <w:t xml:space="preserve">KRI Library &amp; Dashboard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22222"/>
                <w:sz w:val="18"/>
                <w:szCs w:val="18"/>
              </w:rPr>
              <w:t xml:space="preserve">Q3 2023</w:t>
            </w:r>
          </w:p>
        </w:tc>
        <w:tc>
          <w:tcPr>
            <w:tcW w:type="dxa" w:w="1560"/>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b w:val="false"/>
                <w:bCs w:val="false"/>
                <w:color w:val="222222"/>
                <w:sz w:val="18"/>
                <w:szCs w:val="18"/>
              </w:rPr>
              <w:t xml:space="preserve">Complete</w:t>
            </w:r>
          </w:p>
        </w:tc>
        <w:tc>
          <w:tcPr>
            <w:tcW w:type="dxa" w:w="17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22222"/>
                <w:sz w:val="18"/>
                <w:szCs w:val="18"/>
              </w:rPr>
              <w:t xml:space="preserve">Risk Mgmt</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Credit Policy Revision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Q4 2023</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val="false"/>
                <w:bCs w:val="false"/>
                <w:color w:val="222222"/>
                <w:sz w:val="18"/>
                <w:szCs w:val="18"/>
              </w:rPr>
              <w:t xml:space="preserve">In Progress</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Credit Dept</w:t>
            </w:r>
          </w:p>
        </w:tc>
      </w:tr>
      <w:tr>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22222"/>
                <w:sz w:val="18"/>
                <w:szCs w:val="18"/>
              </w:rPr>
              <w:t xml:space="preserve">IFRS 9 Model Validation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22222"/>
                <w:sz w:val="18"/>
                <w:szCs w:val="18"/>
              </w:rPr>
              <w:t xml:space="preserve">Q1 2024</w:t>
            </w:r>
          </w:p>
        </w:tc>
        <w:tc>
          <w:tcPr>
            <w:tcW w:type="dxa" w:w="15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b w:val="false"/>
                <w:bCs w:val="false"/>
                <w:color w:val="222222"/>
                <w:sz w:val="18"/>
                <w:szCs w:val="18"/>
              </w:rPr>
              <w:t xml:space="preserve">Planned</w:t>
            </w:r>
          </w:p>
        </w:tc>
        <w:tc>
          <w:tcPr>
            <w:tcW w:type="dxa" w:w="17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22222"/>
                <w:sz w:val="18"/>
                <w:szCs w:val="18"/>
              </w:rPr>
              <w:t xml:space="preserve">Finance/Risk</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Internal Audit Plan Realignment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Q1 2024</w:t>
            </w:r>
          </w:p>
        </w:tc>
        <w:tc>
          <w:tcPr>
            <w:tcW w:type="dxa" w:w="15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b w:val="false"/>
                <w:bCs w:val="false"/>
                <w:color w:val="222222"/>
                <w:sz w:val="18"/>
                <w:szCs w:val="18"/>
              </w:rPr>
              <w:t xml:space="preserve">Planned</w:t>
            </w:r>
          </w:p>
        </w:tc>
        <w:tc>
          <w:tcPr>
            <w:tcW w:type="dxa" w:w="17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Internal Audit</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7B241C"/>
      <w:sz w:val="28"/>
      <w:szCs w:val="28"/>
    </w:rPr>
  </w:style>
  <w:style w:type="paragraph" w:styleId="Heading2">
    <w:name w:val="Heading 2"/>
    <w:basedOn w:val="Normal"/>
    <w:next w:val="Normal"/>
    <w:qFormat/>
    <w:pPr>
      <w:spacing w:after="160" w:before="200"/>
      <w:outlineLvl w:val="1"/>
    </w:pPr>
    <w:rPr>
      <w:rFonts w:ascii="Arial" w:cs="Arial" w:eastAsia="Arial" w:hAnsi="Arial"/>
      <w:b/>
      <w:bCs/>
      <w:color w:val="A932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2026-05-21T05:41:53.074Z</dcterms:created>
  <dcterms:modified xsi:type="dcterms:W3CDTF">2026-05-21T05:41:53.074Z</dcterms:modified>
</cp:coreProperties>
</file>

<file path=docProps/custom.xml><?xml version="1.0" encoding="utf-8"?>
<Properties xmlns="http://schemas.openxmlformats.org/officeDocument/2006/custom-properties" xmlns:vt="http://schemas.openxmlformats.org/officeDocument/2006/docPropsVTypes"/>
</file>