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rFonts w:ascii="Arial" w:cs="Arial" w:eastAsia="Arial" w:hAnsi="Arial"/>
          <w:b/>
          <w:bCs/>
          <w:color w:val="1A3A5C"/>
          <w:sz w:val="44"/>
          <w:szCs w:val="44"/>
        </w:rPr>
        <w:t xml:space="preserve">Operating Model Design &amp; Governance Framework</w:t>
      </w:r>
    </w:p>
    <w:p>
      <w:pPr>
        <w:spacing w:after="100"/>
      </w:pPr>
      <w:r>
        <w:rPr>
          <w:color w:val="666666"/>
          <w:sz w:val="22"/>
          <w:szCs w:val="22"/>
        </w:rPr>
        <w:t xml:space="preserve">Oman Investment Authority | Strategy &amp; Operations Practice</w:t>
      </w:r>
    </w:p>
    <w:p>
      <w:pPr>
        <w:spacing w:after="400"/>
      </w:pPr>
      <w:r>
        <w:rPr>
          <w:color w:val="999999"/>
          <w:sz w:val="18"/>
          <w:szCs w:val="18"/>
        </w:rPr>
        <w:t xml:space="preserve">Engagement ID: ME-SO-2023-0211  |  Muscat, Sultanate of Oman  |  September 2023</w:t>
      </w:r>
    </w:p>
    <w:p>
      <w:pPr>
        <w:pStyle w:val="Heading1"/>
      </w:pPr>
      <w:r>
        <w:rPr>
          <w:b/>
          <w:bCs/>
          <w:color w:val="1A5276"/>
          <w:sz w:val="28"/>
          <w:szCs w:val="28"/>
        </w:rPr>
        <w:t xml:space="preserve">1. Engagement Context</w:t>
      </w:r>
    </w:p>
    <w:p>
      <w:pPr>
        <w:spacing w:after="120"/>
      </w:pPr>
      <w:r>
        <w:rPr>
          <w:color w:val="2C2C2C"/>
          <w:sz w:val="20"/>
          <w:szCs w:val="20"/>
        </w:rPr>
        <w:t xml:space="preserve">EY Middle East was engaged by the Oman Investment Authority (OIA) to redesign its operating model following the merger of three predecessor sovereign investment entities in 2020. The OIA manages assets in excess of USD 17 billion and required a fit-for-purpose governance and operating structure to support its mandate of diversifying national wealth and enabling private sector development.</w:t>
      </w:r>
    </w:p>
    <w:p>
      <w:pPr>
        <w:spacing w:after="120"/>
      </w:pPr>
      <w:r>
        <w:rPr>
          <w:color w:val="2C2C2C"/>
          <w:sz w:val="20"/>
          <w:szCs w:val="20"/>
        </w:rPr>
        <w:t xml:space="preserve">This engagement focused on three primary deliverables: (1) target operating model design aligned with international sovereign wealth fund best practices, (2) a governance framework consistent with OECD guidelines and Santiago Principles, and (3) a capability roadmap to build institutional capacity over five years.</w:t>
      </w:r>
    </w:p>
    <w:p>
      <w:pPr>
        <w:pStyle w:val="Heading1"/>
      </w:pPr>
      <w:r>
        <w:rPr>
          <w:b/>
          <w:bCs/>
          <w:color w:val="1A5276"/>
          <w:sz w:val="28"/>
          <w:szCs w:val="28"/>
        </w:rPr>
        <w:t xml:space="preserve">2. Current State Assessment</w:t>
      </w:r>
    </w:p>
    <w:p>
      <w:pPr>
        <w:pStyle w:val="Heading2"/>
      </w:pPr>
      <w:r>
        <w:rPr>
          <w:b/>
          <w:bCs/>
          <w:color w:val="2874A6"/>
          <w:sz w:val="22"/>
          <w:szCs w:val="22"/>
        </w:rPr>
        <w:t xml:space="preserve">2.1 Structural Observations</w:t>
      </w:r>
    </w:p>
    <w:p>
      <w:pPr>
        <w:spacing w:after="120"/>
      </w:pPr>
      <w:r>
        <w:rPr>
          <w:color w:val="2C2C2C"/>
          <w:sz w:val="20"/>
          <w:szCs w:val="20"/>
        </w:rPr>
        <w:t xml:space="preserve">The current operating model reflects legacy structures from the three predecessor entities and exhibits significant duplication of function. EY identified 11 distinct investment committees, compared to a best-practice benchmark of 3-5. Decision-making authority is fragmented across 37 role profiles, creating bottlenecks in deal execution with average approval cycles of 42 days versus a peer median of 12 days.</w:t>
      </w:r>
    </w:p>
    <w:p>
      <w:pPr>
        <w:pStyle w:val="Heading2"/>
      </w:pPr>
      <w:r>
        <w:rPr>
          <w:b/>
          <w:bCs/>
          <w:color w:val="2874A6"/>
          <w:sz w:val="22"/>
          <w:szCs w:val="22"/>
        </w:rPr>
        <w:t xml:space="preserve">2.2 Capability Gaps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Capability Domain</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Current Maturity</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Target State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Private Equity Deal Origination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Level 2 - Developing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Level 4 - Advanced with GCC network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22222"/>
                <w:sz w:val="18"/>
                <w:szCs w:val="18"/>
              </w:rPr>
              <w:t xml:space="preserve">Risk Management Framework</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22222"/>
                <w:sz w:val="18"/>
                <w:szCs w:val="18"/>
              </w:rPr>
              <w:t xml:space="preserve">Level 2 - Developing</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22222"/>
                <w:sz w:val="18"/>
                <w:szCs w:val="18"/>
              </w:rPr>
              <w:t xml:space="preserve">Level 4 - Quantitative &amp; integrated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ESG &amp; Impact Measurement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Level 1 - Initial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Level 3 - Systematic reporting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22222"/>
                <w:sz w:val="18"/>
                <w:szCs w:val="18"/>
              </w:rPr>
              <w:t xml:space="preserve">Portfolio Analytics &amp; Reporting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22222"/>
                <w:sz w:val="18"/>
                <w:szCs w:val="18"/>
              </w:rPr>
              <w:t xml:space="preserve">Level 2 - Developing</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22222"/>
                <w:sz w:val="18"/>
                <w:szCs w:val="18"/>
              </w:rPr>
              <w:t xml:space="preserve">Level 4 - Real-time dashboards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Talent Management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Level 2 - Developing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22222"/>
                <w:sz w:val="18"/>
                <w:szCs w:val="18"/>
              </w:rPr>
              <w:t xml:space="preserve">Level 3 - Structured career framework</w:t>
            </w:r>
          </w:p>
        </w:tc>
      </w:tr>
    </w:tbl>
    <w:p>
      <w:r>
        <w:t xml:space="preserve"/>
      </w:r>
    </w:p>
    <w:p>
      <w:pPr>
        <w:pStyle w:val="Heading1"/>
      </w:pPr>
      <w:r>
        <w:rPr>
          <w:b/>
          <w:bCs/>
          <w:color w:val="1A5276"/>
          <w:sz w:val="28"/>
          <w:szCs w:val="28"/>
        </w:rPr>
        <w:t xml:space="preserve">3. Target Operating Model</w:t>
      </w:r>
    </w:p>
    <w:p>
      <w:pPr>
        <w:pStyle w:val="Heading2"/>
      </w:pPr>
      <w:r>
        <w:rPr>
          <w:b/>
          <w:bCs/>
          <w:color w:val="2874A6"/>
          <w:sz w:val="22"/>
          <w:szCs w:val="22"/>
        </w:rPr>
        <w:t xml:space="preserve">3.1 Proposed Organisational Structure</w:t>
      </w:r>
    </w:p>
    <w:p>
      <w:pPr>
        <w:spacing w:after="120"/>
      </w:pPr>
      <w:r>
        <w:rPr>
          <w:color w:val="2C2C2C"/>
          <w:sz w:val="20"/>
          <w:szCs w:val="20"/>
        </w:rPr>
        <w:t xml:space="preserve">The recommended target operating model organises OIA into three investment verticals (Public Markets, Private Markets, and Real Assets) supported by four enabling functions (Risk &amp; Compliance, Finance &amp; Operations, Technology &amp; Data, and People &amp; Culture). A Central Investment Committee of 5 members replaces the current 11-committee structure.</w:t>
      </w:r>
    </w:p>
    <w:p>
      <w:pPr>
        <w:pStyle w:val="ListParagraph"/>
        <w:numPr>
          <w:ilvl w:val="0"/>
          <w:numId w:val="2"/>
        </w:numPr>
      </w:pPr>
      <w:r>
        <w:rPr>
          <w:color w:val="2C2C2C"/>
          <w:sz w:val="20"/>
          <w:szCs w:val="20"/>
        </w:rPr>
        <w:t xml:space="preserve">Investment Verticals: Dedicated P&amp;L accountability per vertical with co-investment authority up to USD 50M</w:t>
      </w:r>
    </w:p>
    <w:p>
      <w:pPr>
        <w:pStyle w:val="ListParagraph"/>
        <w:numPr>
          <w:ilvl w:val="0"/>
          <w:numId w:val="2"/>
        </w:numPr>
      </w:pPr>
      <w:r>
        <w:rPr>
          <w:color w:val="2C2C2C"/>
          <w:sz w:val="20"/>
          <w:szCs w:val="20"/>
        </w:rPr>
        <w:t xml:space="preserve">Enabling Functions: Shared services model reducing headcount duplication by an estimated 23%</w:t>
      </w:r>
    </w:p>
    <w:p>
      <w:pPr>
        <w:pStyle w:val="ListParagraph"/>
        <w:numPr>
          <w:ilvl w:val="0"/>
          <w:numId w:val="2"/>
        </w:numPr>
      </w:pPr>
      <w:r>
        <w:rPr>
          <w:color w:val="2C2C2C"/>
          <w:sz w:val="20"/>
          <w:szCs w:val="20"/>
        </w:rPr>
        <w:t xml:space="preserve">Executive Committee: Streamlined to 6 members with clear RACI for all decisions above USD 10M</w:t>
      </w:r>
    </w:p>
    <w:p>
      <w:pPr>
        <w:pStyle w:val="ListParagraph"/>
        <w:numPr>
          <w:ilvl w:val="0"/>
          <w:numId w:val="2"/>
        </w:numPr>
      </w:pPr>
      <w:r>
        <w:rPr>
          <w:color w:val="2C2C2C"/>
          <w:sz w:val="20"/>
          <w:szCs w:val="20"/>
        </w:rPr>
        <w:t xml:space="preserve">Board Oversight: 9-member Board with 4 independent directors per Santiago Principles</w:t>
      </w:r>
    </w:p>
    <w:p>
      <w:r>
        <w:t xml:space="preserve"/>
      </w:r>
    </w:p>
    <w:p>
      <w:pPr>
        <w:pStyle w:val="Heading2"/>
      </w:pPr>
      <w:r>
        <w:rPr>
          <w:b/>
          <w:bCs/>
          <w:color w:val="2874A6"/>
          <w:sz w:val="22"/>
          <w:szCs w:val="22"/>
        </w:rPr>
        <w:t xml:space="preserve">3.2 Governance Framework</w:t>
      </w:r>
    </w:p>
    <w:p>
      <w:pPr>
        <w:spacing w:after="120"/>
      </w:pPr>
      <w:r>
        <w:rPr>
          <w:color w:val="2C2C2C"/>
          <w:sz w:val="20"/>
          <w:szCs w:val="20"/>
        </w:rPr>
        <w:t xml:space="preserve">The governance framework establishes a three-tier decision structure: (1) Board of Directors for strategic mandates and investments above USD 100M, (2) Executive Investment Committee for investments USD 10-100M and portfolio strategy, and (3) Vertical Investment Committees for deal execution below USD 10M.</w:t>
      </w:r>
    </w:p>
    <w:p>
      <w:pPr>
        <w:spacing w:after="120"/>
      </w:pPr>
      <w:r>
        <w:rPr>
          <w:color w:val="2C2C2C"/>
          <w:sz w:val="20"/>
          <w:szCs w:val="20"/>
        </w:rPr>
        <w:t xml:space="preserve">Key governance enhancements include mandatory conflict-of-interest disclosures, rotation policies for committee members, and quarterly Board reporting dashboards aligned with Global Investment Performance Standards (GIPS).</w:t>
      </w:r>
    </w:p>
    <w:p>
      <w:pPr>
        <w:pStyle w:val="Heading1"/>
      </w:pPr>
      <w:r>
        <w:rPr>
          <w:b/>
          <w:bCs/>
          <w:color w:val="1A5276"/>
          <w:sz w:val="28"/>
          <w:szCs w:val="28"/>
        </w:rPr>
        <w:t xml:space="preserve">4. Implementation Roadmap</w:t>
      </w:r>
    </w:p>
    <w:p>
      <w:pPr>
        <w:spacing w:after="120"/>
      </w:pPr>
      <w:r>
        <w:rPr>
          <w:color w:val="2C2C2C"/>
          <w:sz w:val="20"/>
          <w:szCs w:val="20"/>
        </w:rPr>
        <w:t xml:space="preserve">The transition to the target operating model is structured over 18 months across three phases:</w:t>
      </w:r>
    </w:p>
    <w:p>
      <w:pPr>
        <w:pStyle w:val="ListParagraph"/>
        <w:numPr>
          <w:ilvl w:val="0"/>
          <w:numId w:val="2"/>
        </w:numPr>
      </w:pPr>
      <w:r>
        <w:rPr>
          <w:color w:val="2C2C2C"/>
          <w:sz w:val="20"/>
          <w:szCs w:val="20"/>
        </w:rPr>
        <w:t xml:space="preserve">Phase 1 (Months 1-4): Governance documentation, committee restructuring, role redesign and RACI</w:t>
      </w:r>
    </w:p>
    <w:p>
      <w:pPr>
        <w:pStyle w:val="ListParagraph"/>
        <w:numPr>
          <w:ilvl w:val="0"/>
          <w:numId w:val="2"/>
        </w:numPr>
      </w:pPr>
      <w:r>
        <w:rPr>
          <w:color w:val="2C2C2C"/>
          <w:sz w:val="20"/>
          <w:szCs w:val="20"/>
        </w:rPr>
        <w:t xml:space="preserve">Phase 2 (Months 5-10): Talent assessment, function consolidation, technology platform selection</w:t>
      </w:r>
    </w:p>
    <w:p>
      <w:pPr>
        <w:pStyle w:val="ListParagraph"/>
        <w:numPr>
          <w:ilvl w:val="0"/>
          <w:numId w:val="2"/>
        </w:numPr>
      </w:pPr>
      <w:r>
        <w:rPr>
          <w:color w:val="2C2C2C"/>
          <w:sz w:val="20"/>
          <w:szCs w:val="20"/>
        </w:rPr>
        <w:t xml:space="preserve">Phase 3 (Months 11-18): Full operating model go-live, performance management system, external assurance review</w:t>
      </w:r>
    </w:p>
    <w:p>
      <w:pPr>
        <w:pStyle w:val="Heading1"/>
      </w:pPr>
      <w:r>
        <w:rPr>
          <w:b/>
          <w:bCs/>
          <w:color w:val="1A5276"/>
          <w:sz w:val="28"/>
          <w:szCs w:val="28"/>
        </w:rPr>
        <w:t xml:space="preserve">5. Expected Benefits</w:t>
      </w:r>
    </w:p>
    <w:p>
      <w:pPr>
        <w:spacing w:after="120"/>
      </w:pPr>
      <w:r>
        <w:rPr>
          <w:color w:val="2C2C2C"/>
          <w:sz w:val="20"/>
          <w:szCs w:val="20"/>
        </w:rPr>
        <w:t xml:space="preserve">Successful implementation is projected to deliver: 35% reduction in average deal approval cycle time, 20% reduction in operating costs through shared services consolidation, improved ESG reporting capability enabling access to international LP capital, and enhanced risk-adjusted returns through integrated portfolio analytics.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jc w:val="center"/>
    </w:pPr>
    <w:r>
      <w:rPr>
        <w:color w:val="AAAAAA"/>
        <w:sz w:val="16"/>
        <w:szCs w:val="16"/>
      </w:rPr>
      <w:t xml:space="preserve">Ernst &amp; Young Middle East  |  Operating Model Design  |  September 2023  |  Page </w:t>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B800" w:sz="4"/>
      </w:pBdr>
    </w:pPr>
    <w:r>
      <w:rPr>
        <w:color w:val="888888"/>
        <w:sz w:val="16"/>
        <w:szCs w:val="16"/>
      </w:rPr>
      <w:t xml:space="preserve">EY Middle East  |  Strategy &amp; Operations  |  CONFIDENTIAL</w:t>
    </w:r>
    <w:r>
      <w:rPr>
        <w:color w:val="AAAAAA"/>
        <w:sz w:val="16"/>
        <w:szCs w:val="16"/>
      </w:rPr>
      <w:t xml:space="preserve">    |    ME-SO-2023-0211  |  Sultanate of Oman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5276"/>
      <w:sz w:val="28"/>
      <w:szCs w:val="28"/>
    </w:rPr>
  </w:style>
  <w:style w:type="paragraph" w:styleId="Heading2">
    <w:name w:val="Heading 2"/>
    <w:basedOn w:val="Normal"/>
    <w:next w:val="Normal"/>
    <w:qFormat/>
    <w:pPr>
      <w:spacing w:after="160" w:before="200"/>
      <w:outlineLvl w:val="1"/>
    </w:pPr>
    <w:rPr>
      <w:rFonts w:ascii="Arial" w:cs="Arial" w:eastAsia="Arial" w:hAnsi="Arial"/>
      <w:b/>
      <w:bCs/>
      <w:color w:val="2874A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2026-05-21T05:41:53.039Z</dcterms:created>
  <dcterms:modified xsi:type="dcterms:W3CDTF">2026-05-21T05:41:53.039Z</dcterms:modified>
</cp:coreProperties>
</file>

<file path=docProps/custom.xml><?xml version="1.0" encoding="utf-8"?>
<Properties xmlns="http://schemas.openxmlformats.org/officeDocument/2006/custom-properties" xmlns:vt="http://schemas.openxmlformats.org/officeDocument/2006/docPropsVTypes"/>
</file>