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pPr>
      <w:r>
        <w:rPr>
          <w:rFonts w:ascii="Calibri" w:hAnsi="Calibri" w:eastAsia="Calibri"/>
          <w:b/>
          <w:color w:val="18181B"/>
          <w:sz w:val="32"/>
        </w:rPr>
        <w:t>INCIDENT BRIEFING: OPERATION CELESTIAL MADONNA</w:t>
      </w:r>
    </w:p>
    <w:p>
      <w:pPr>
        <w:spacing w:before="0" w:after="280" w:line="240" w:lineRule="auto"/>
        <w:pBdr>
          <w:bottom w:val="single" w:sz="12" w:space="4" w:color="991B1B"/>
        </w:pBdr>
      </w:pPr>
      <w:r>
        <w:rPr>
          <w:rFonts w:ascii="Calibri" w:hAnsi="Calibri" w:eastAsia="Calibri"/>
          <w:b/>
          <w:color w:val="6B7280"/>
          <w:sz w:val="18"/>
        </w:rPr>
        <w:t>CLASSIFICATION: HIGH-VALUE CULTURAL PROPERTY THEFT | RIVERTON FINE ARTS DEPARTMENT</w:t>
      </w:r>
    </w:p>
    <w:p>
      <w:pPr>
        <w:spacing w:before="120" w:after="80" w:line="240" w:lineRule="auto"/>
      </w:pPr>
      <w:r>
        <w:rPr>
          <w:rFonts w:ascii="Calibri" w:hAnsi="Calibri" w:eastAsia="Calibri"/>
          <w:b/>
          <w:color w:val="991B1B"/>
          <w:sz w:val="22"/>
        </w:rPr>
        <w:t>SITUATION</w:t>
      </w:r>
    </w:p>
    <w:p>
      <w:pPr>
        <w:spacing w:before="0" w:after="280" w:line="276" w:lineRule="auto"/>
      </w:pPr>
      <w:r>
        <w:rPr>
          <w:rFonts w:ascii="Calibri" w:hAnsi="Calibri" w:eastAsia="Calibri"/>
          <w:b w:val="0"/>
          <w:color w:val="1F2937"/>
          <w:sz w:val="21"/>
        </w:rPr>
        <w:t>During the Annual Autumn Gala, the museum’s crown jewel—The Celestial Madonna (RM-1887-04)—was stolen from Gallery 4 during a sudden electrical outage in Wing C, replaced by an in-situ forgery while guests gathered in the banquet hall.</w:t>
      </w:r>
    </w:p>
    <w:p>
      <w:pPr>
        <w:spacing w:before="0" w:after="80" w:line="240" w:lineRule="auto"/>
      </w:pPr>
      <w:r>
        <w:rPr>
          <w:rFonts w:ascii="Calibri" w:hAnsi="Calibri" w:eastAsia="Calibri"/>
          <w:b/>
          <w:color w:val="991B1B"/>
          <w:sz w:val="22"/>
        </w:rPr>
        <w:t>OPERATIONAL DISPATCH MANDATE</w:t>
      </w:r>
    </w:p>
    <w:tbl>
      <w:tblPr>
        <w:tblW w:type="auto" w:w="0"/>
        <w:tblLayout w:type="fixed"/>
        <w:tblLook w:firstColumn="1" w:firstRow="1" w:lastColumn="0" w:lastRow="0" w:noHBand="0" w:noVBand="1" w:val="04A0"/>
        <w:tblW w:w="9936" w:type="dxa"/>
      </w:tblPr>
      <w:tblGrid>
        <w:gridCol w:w="9936"/>
      </w:tblGrid>
      <w:tr>
        <w:tc>
          <w:tcPr>
            <w:tcW w:type="dxa" w:w="9936"/>
            <w:shd w:val="clear" w:color="auto" w:fill="FEF2F2"/>
            <w:tcBorders>
              <w:top w:val="nil"/>
              <w:left w:val="single" w:sz="36" w:color="991B1B" w:space="0"/>
              <w:bottom w:val="nil"/>
              <w:right w:val="nil"/>
            </w:tcBorders>
            <w:tcMar>
              <w:top w:w="160" w:type="dxa"/>
              <w:left w:w="240" w:type="dxa"/>
              <w:bottom w:w="160" w:type="dxa"/>
              <w:right w:w="200" w:type="dxa"/>
            </w:tcMar>
          </w:tcPr>
          <w:p>
            <w:pPr>
              <w:spacing w:before="0" w:after="0" w:line="276" w:lineRule="auto"/>
            </w:pPr>
            <w:r>
              <w:rPr>
                <w:rFonts w:ascii="Calibri" w:hAnsi="Calibri" w:eastAsia="Calibri"/>
                <w:b w:val="0"/>
                <w:color w:val="1F2937"/>
                <w:sz w:val="21"/>
              </w:rPr>
              <w:t>Investigators must first extract hard telemetry from CCTV logs, spectrometry records, and access badges, cataloging personnel like Dr. Vance and Chief Thorne while filtering peripheral banquet distractions. Synthesis teams must then reconstruct the unbroken chronological progression from gala arrival through the 90-second breaker blackout, mapping the physical transit of the canvas tube down to subterranean corridors with neutral objectivity. Finally, lead interrogators must evaluate the timeline against conservation protocols SEC-401 and ART-302, citing the decisive basement locker token and synthetic pigment proof to expose the inside conspiracy in strict structured data format.</w:t>
            </w:r>
          </w:p>
        </w:tc>
      </w:tr>
    </w:tbl>
    <w:p>
      <w:pPr>
        <w:spacing w:before="0" w:after="160" w:line="240" w:lineRule="auto"/>
      </w:pPr>
    </w:p>
    <w:tbl>
      <w:tblPr>
        <w:tblW w:type="auto" w:w="0"/>
        <w:tblLayout w:type="fixed"/>
        <w:tblLook w:firstColumn="1" w:firstRow="1" w:lastColumn="0" w:lastRow="0" w:noHBand="0" w:noVBand="1" w:val="04A0"/>
        <w:tblW w:w="9936" w:type="dxa"/>
      </w:tblPr>
      <w:tblGrid>
        <w:gridCol w:w="9936"/>
      </w:tblGrid>
      <w:tr>
        <w:tc>
          <w:tcPr>
            <w:tcW w:type="dxa" w:w="9936"/>
            <w:shd w:val="clear" w:color="auto" w:fill="18181B"/>
            <w:tcBorders>
              <w:top w:val="nil"/>
              <w:left w:val="nil"/>
              <w:bottom w:val="nil"/>
              <w:right w:val="nil"/>
            </w:tcBorders>
            <w:tcMar>
              <w:top w:w="140" w:type="dxa"/>
              <w:left w:w="240" w:type="dxa"/>
              <w:bottom w:w="140" w:type="dxa"/>
              <w:right w:w="200" w:type="dxa"/>
            </w:tcMar>
          </w:tcPr>
          <w:p>
            <w:pPr>
              <w:spacing w:before="0" w:after="0" w:line="276" w:lineRule="auto"/>
            </w:pPr>
            <w:r>
              <w:rPr>
                <w:rFonts w:ascii="Calibri" w:hAnsi="Calibri" w:eastAsia="Calibri"/>
                <w:b/>
                <w:color w:val="FFFFFF"/>
                <w:sz w:val="19"/>
              </w:rPr>
              <w:t xml:space="preserve">GOVERNING DIRECTIVES:  </w:t>
            </w:r>
            <w:r>
              <w:rPr>
                <w:rFonts w:ascii="Calibri" w:hAnsi="Calibri" w:eastAsia="Calibri"/>
                <w:b w:val="0"/>
                <w:color w:val="E5E7EB"/>
                <w:sz w:val="19"/>
              </w:rPr>
              <w:t>Rule SEC-401 (Auxiliary Power Blackout Lockdown) • Rule ART-302 (Masterpiece Forgery Chain of Custody)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