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Sustainability fashion achievable fashion industry notorious environmental social impact grappling question sustainability industry built constant trends consumption ever truly sustainable answer complex riddled challenges also brimming potential positive change environmental cost fast fashion undeniable Production processes rely heavily fossil fuels toxic chemicals polluting waterways contributing climate change Cotton common fabric requires vast amounts water cultivate putting strain precious resources Additionally textile waste discarded clothing ends landfills taking centuries decompose releasing harmful toxins human cost equally concerning garment industry rife unethical labor practices workers often developing countries facing poor working conditions low wages exposure hazardous materials achieving sustainability fashion pipe dream necessarily growing movement pushing significant changes throughout supply chain One key approach focuses materials Sustainable fabrics like organic cotton recycled polyester Tencel derived wood pulp gaining traction materials require less water energy produce lower environmental footprint Innovation also playing crucial role Brands exploring bio-based materials like algae mushroom leather offering alternatives traditional resource-intensive fabrics Technologies like 3D printing digital garment creation minimizing waste allowing on-demand production concept circularity another pillar sustainable fashion involves extending life cycle clothing initiatives like repair upcycling resale platforms Encouraging consumers buy less buy better quality pieces extend garment lifespan proper care crucial However significant challenges remain Sustainable materials often expensive making difficult fast-fashion brands adopt without raising prices Consumer behavior also needs shift current culture constant buying sprees contradicts principles sustainability Transparency another hurdle Many brands struggle provide clear information supply chains labor practices making difficult consumers make informed choices Despite challenges reasons optimism Consumer awareness growing People increasingly demanding ethical environmentally conscious products shift consumer behavior pushing brands become accountable Policy changes also game changer Governments incentivize sustainable practices crack environmentally damaging ones Collaboration brands manufacturers policymakers vital create sustainable fashion ecosystem road truly sustainable fashion industry long winding However innovation responsible consumerism industry-wide commitment ethical environmentally friendly future fashion achievable consciously stitching together sustainable practices responsible consumer behavior create future fashion n't come cost planet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