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2F5496"/>
          <w:sz w:val="64"/>
          <w:szCs w:val="64"/>
        </w:rPr>
        <w:t xml:space="preserve">LyASC</w:t>
      </w:r>
    </w:p>
    <w:p>
      <w:pPr>
        <w:spacing w:after="120"/>
        <w:jc w:val="center"/>
      </w:pPr>
      <w:r>
        <w:rPr>
          <w:b/>
          <w:bCs/>
          <w:sz w:val="32"/>
          <w:szCs w:val="32"/>
        </w:rPr>
        <w:t xml:space="preserve">Lyapunov-Adaptive Skip Connections</w:t>
      </w:r>
    </w:p>
    <w:p>
      <w:pPr>
        <w:spacing w:after="480"/>
        <w:jc w:val="center"/>
      </w:pPr>
      <w:r>
        <w:rPr>
          <w:i/>
          <w:iCs/>
          <w:color w:val="444444"/>
          <w:sz w:val="24"/>
          <w:szCs w:val="24"/>
        </w:rPr>
        <w:t xml:space="preserve">A Stability-Driven Alternative to Fixed and Freely-Learned Residual Gating</w:t>
      </w:r>
    </w:p>
    <w:p>
      <w:pPr>
        <w:spacing w:after="80"/>
        <w:jc w:val="center"/>
      </w:pPr>
      <w:r>
        <w:rPr>
          <w:sz w:val="22"/>
          <w:szCs w:val="22"/>
        </w:rPr>
        <w:t xml:space="preserve">Complete Architecture, Implementation Plan, Novel Extensions, and Experiment-Tracking Design</w:t>
      </w:r>
    </w:p>
    <w:p>
      <w:pPr>
        <w:spacing w:after="40" w:before="800"/>
        <w:jc w:val="center"/>
      </w:pPr>
      <w:r>
        <w:rPr>
          <w:color w:val="666666"/>
          <w:sz w:val="20"/>
          <w:szCs w:val="20"/>
        </w:rPr>
        <w:t xml:space="preserve">Research Working Document — Draft for Journal Preparation</w:t>
      </w:r>
    </w:p>
    <w:p>
      <w:pPr>
        <w:jc w:val="center"/>
      </w:pPr>
      <w:r>
        <w:rPr>
          <w:color w:val="666666"/>
          <w:sz w:val="20"/>
          <w:szCs w:val="20"/>
        </w:rPr>
        <w:t xml:space="preserve">August 2026</w:t>
      </w:r>
    </w:p>
    <w:p>
      <w:r>
        <w:br w:type="page"/>
      </w:r>
    </w:p>
    <w:p>
      <w:pPr>
        <w:pStyle w:val="Heading1"/>
        <w:spacing w:after="160" w:before="360"/>
      </w:pPr>
      <w:r>
        <w:t xml:space="preserve">1. Executive Summary (Plain-Language Overview)</w:t>
      </w:r>
    </w:p>
    <w:p>
      <w:pPr>
        <w:spacing w:after="160" w:line="276"/>
      </w:pPr>
      <w:r>
        <w:t xml:space="preserve">Every deep residual network — ResNets, Transformers, most modern architectures — relies on "skip connections": shortcuts that let information bypass a layer entirely. Today these shortcuts are almost always fixed in strength: the network always mixes the same fixed proportion of "shortcut" and "transformed" signal at a given layer, no matter what is actually happening during training. A handful of prior methods let the network learn that mixing proportion freely, but our own reproduction of the closest such method (a paper called "Rethinking Skip Connection with Layer Normalization," which we fully re-ran and verified from scratch) shows that letting the gate float freely without any grounding signal makes training unstable and, even after fixing that instability, produces worse results than simply picking a good fixed schedule by hand.</w:t>
      </w:r>
    </w:p>
    <w:p>
      <w:pPr>
        <w:spacing w:after="160" w:line="276"/>
      </w:pPr>
      <w:r>
        <w:t xml:space="preserve">LyASC (Lyapunov-Adaptive Skip Connections) proposes a middle path: instead of a fixed schedule or a free-floating learned gate, each layer's shortcut strength is driven by a cheap, real-time estimate of whether that specific layer is currently "well-behaved" (small perturbations shrink as they pass through) or "unstable" (small perturbations grow). This estimate borrows a classical idea from dynamical-systems theory — the Lyapunov exponent, which measures exactly this kind of expansion/contraction behavior — and adapts it into something cheap enough to compute thousands of times during neural-network training.</w:t>
      </w:r>
    </w:p>
    <w:p>
      <w:pPr>
        <w:spacing w:after="160" w:line="276"/>
      </w:pPr>
      <w:r>
        <w:t xml:space="preserve">This document has four purposes: (1) explain the LyASC architecture in plain terms and precise mathematics side by side; (2) lay out a complete, buildable implementation plan, reusing a fully verified reproduction codebase as its foundation; (3) propose a substantial set of novel extensions — beyond the original LyASC design — intended to sharpen its novelty and strengthen a journal submission; and (4) specify an MLflow-based experiment-tracking design so that every hyperparameter, decision, metric, and artifact across this entire research program is recorded in one place, queryable and auditable, extending the same "never fabricate, always trace to a logged artifact" discipline already used throughout this project.</w:t>
      </w:r>
    </w:p>
    <w:p>
      <w:pPr>
        <w:pStyle w:val="Heading1"/>
        <w:spacing w:after="160" w:before="360"/>
      </w:pPr>
      <w:r>
        <w:t xml:space="preserve">2. Motivation and Background</w:t>
      </w:r>
    </w:p>
    <w:p>
      <w:pPr>
        <w:pStyle w:val="Heading2"/>
        <w:spacing w:after="120" w:before="280"/>
      </w:pPr>
      <w:r>
        <w:t xml:space="preserve">2.1 The problem with fixed skip connections, in simple terms</w:t>
      </w:r>
    </w:p>
    <w:p>
      <w:pPr>
        <w:spacing w:after="160" w:line="276"/>
      </w:pPr>
      <w:r>
        <w:t xml:space="preserve">Picture a relay race where each runner (a "layer") both carries the baton forward untouched (the "skip" path) and also does some work on it before passing it on (the "transform" path), and the final handoff is a fixed blend of the two — say, always 50% untouched baton and 50% worked-on baton, at every single runner, for the entire race. That fixed 50/50 rule has no way of knowing that runner #40 is having a rough day (their "work" is making the baton wildly unpredictable) while runner #41 is doing fine. A fixed blending rule cannot adapt to that difference. This is exactly the situation in a deep residual network: the shortcut strength is typically fixed by architecture design (plain residual, scaled residual, or a fixed recursive normalization schedule), not by what is actually happening at that specific layer during that specific point in training.</w:t>
      </w:r>
    </w:p>
    <w:p>
      <w:pPr>
        <w:pStyle w:val="Heading2"/>
        <w:spacing w:after="120" w:before="280"/>
      </w:pPr>
      <w:r>
        <w:t xml:space="preserve">2.2 What we already proved empirically before designing LyASC</w:t>
      </w:r>
    </w:p>
    <w:p>
      <w:pPr>
        <w:spacing w:after="160" w:line="276"/>
      </w:pPr>
      <w:r>
        <w:t xml:space="preserve">Before proposing anything new, we fully reproduced the base paper's image-classification experiments (CIFAR-10/100, PreAct-ResNet, 32 result rows across four tables, 3 seeds each) from scratch, with every number traced to a raw result JSON on disk and cross-checked programmatically — no hand-typed or invented figures. The table below summarizes what that reproduction established, since every claim in this document that mentions a "verified baseline" refers back to these exact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400"/>
      </w:tblGrid>
      <w:tr>
        <w:trPr>
          <w:tblHeader/>
        </w:trPr>
        <w:tc>
          <w:tcPr>
            <w:tcW w:type="dxa" w:w="3400"/>
            <w:shd w:fill="2F5496" w:color="auto" w:val="clear"/>
            <w:tcMar>
              <w:top w:type="dxa" w:w="80"/>
              <w:left w:type="dxa" w:w="100"/>
              <w:bottom w:type="dxa" w:w="80"/>
              <w:right w:type="dxa" w:w="100"/>
            </w:tcMar>
          </w:tcPr>
          <w:p>
            <w:r>
              <w:rPr>
                <w:b/>
                <w:bCs/>
                <w:color w:val="FFFFFF"/>
                <w:sz w:val="20"/>
                <w:szCs w:val="20"/>
              </w:rPr>
              <w:t xml:space="preserve">Verified Finding</w:t>
            </w:r>
          </w:p>
        </w:tc>
        <w:tc>
          <w:tcPr>
            <w:tcW w:type="dxa" w:w="3200"/>
            <w:shd w:fill="2F5496" w:color="auto" w:val="clear"/>
            <w:tcMar>
              <w:top w:type="dxa" w:w="80"/>
              <w:left w:type="dxa" w:w="100"/>
              <w:bottom w:type="dxa" w:w="80"/>
              <w:right w:type="dxa" w:w="100"/>
            </w:tcMar>
          </w:tcPr>
          <w:p>
            <w:r>
              <w:rPr>
                <w:b/>
                <w:bCs/>
                <w:color w:val="FFFFFF"/>
                <w:sz w:val="20"/>
                <w:szCs w:val="20"/>
              </w:rPr>
              <w:t xml:space="preserve">Evidence</w:t>
            </w:r>
          </w:p>
        </w:tc>
        <w:tc>
          <w:tcPr>
            <w:tcW w:type="dxa" w:w="3400"/>
            <w:shd w:fill="2F5496" w:color="auto" w:val="clear"/>
            <w:tcMar>
              <w:top w:type="dxa" w:w="80"/>
              <w:left w:type="dxa" w:w="100"/>
              <w:bottom w:type="dxa" w:w="80"/>
              <w:right w:type="dxa" w:w="100"/>
            </w:tcMar>
          </w:tcPr>
          <w:p>
            <w:r>
              <w:rPr>
                <w:b/>
                <w:bCs/>
                <w:color w:val="FFFFFF"/>
                <w:sz w:val="20"/>
                <w:szCs w:val="20"/>
              </w:rPr>
              <w:t xml:space="preserve">Relevance to LyASC</w:t>
            </w:r>
          </w:p>
        </w:tc>
      </w:tr>
      <w:tr>
        <w:tc>
          <w:tcPr>
            <w:tcW w:type="dxa" w:w="3400"/>
            <w:tcMar>
              <w:top w:type="dxa" w:w="80"/>
              <w:left w:type="dxa" w:w="100"/>
              <w:bottom w:type="dxa" w:w="80"/>
              <w:right w:type="dxa" w:w="100"/>
            </w:tcMar>
          </w:tcPr>
          <w:p>
            <w:r>
              <w:rPr>
                <w:b w:val="false"/>
                <w:bCs w:val="false"/>
                <w:sz w:val="20"/>
                <w:szCs w:val="20"/>
              </w:rPr>
              <w:t xml:space="preserve">Fixed, unnormalized expansion of the skip path degrades performance</w:t>
            </w:r>
          </w:p>
        </w:tc>
        <w:tc>
          <w:tcPr>
            <w:tcW w:type="dxa" w:w="3200"/>
            <w:tcMar>
              <w:top w:type="dxa" w:w="80"/>
              <w:left w:type="dxa" w:w="100"/>
              <w:bottom w:type="dxa" w:w="80"/>
              <w:right w:type="dxa" w:w="100"/>
            </w:tcMar>
          </w:tcPr>
          <w:p>
            <w:r>
              <w:rPr>
                <w:b w:val="false"/>
                <w:bCs w:val="false"/>
                <w:sz w:val="20"/>
                <w:szCs w:val="20"/>
              </w:rPr>
              <w:t xml:space="preserve">2xSkip / 3xSkip underperform 1xSkip</w:t>
            </w:r>
          </w:p>
        </w:tc>
        <w:tc>
          <w:tcPr>
            <w:tcW w:type="dxa" w:w="3400"/>
            <w:tcMar>
              <w:top w:type="dxa" w:w="80"/>
              <w:left w:type="dxa" w:w="100"/>
              <w:bottom w:type="dxa" w:w="80"/>
              <w:right w:type="dxa" w:w="100"/>
            </w:tcMar>
          </w:tcPr>
          <w:p>
            <w:r>
              <w:rPr>
                <w:b w:val="false"/>
                <w:bCs w:val="false"/>
                <w:sz w:val="20"/>
                <w:szCs w:val="20"/>
              </w:rPr>
              <w:t xml:space="preserve">Confirms shortcut strength matters and a naive fixed rule is not enough</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Recursive LN-normalized schedule (rSkip+LN) is the strongest fixed-schedule baseline</w:t>
            </w:r>
          </w:p>
        </w:tc>
        <w:tc>
          <w:tcPr>
            <w:tcW w:type="dxa" w:w="3200"/>
            <w:shd w:fill="F2F2F2" w:color="auto" w:val="clear"/>
            <w:tcMar>
              <w:top w:type="dxa" w:w="80"/>
              <w:left w:type="dxa" w:w="100"/>
              <w:bottom w:type="dxa" w:w="80"/>
              <w:right w:type="dxa" w:w="100"/>
            </w:tcMar>
          </w:tcPr>
          <w:p>
            <w:r>
              <w:rPr>
                <w:b w:val="false"/>
                <w:bCs w:val="false"/>
                <w:sz w:val="20"/>
                <w:szCs w:val="20"/>
              </w:rPr>
              <w:t xml:space="preserve">2rSkip+LN: 6.15% vs paper 6.02%, PASS</w:t>
            </w:r>
          </w:p>
        </w:tc>
        <w:tc>
          <w:tcPr>
            <w:tcW w:type="dxa" w:w="3400"/>
            <w:shd w:fill="F2F2F2" w:color="auto" w:val="clear"/>
            <w:tcMar>
              <w:top w:type="dxa" w:w="80"/>
              <w:left w:type="dxa" w:w="100"/>
              <w:bottom w:type="dxa" w:w="80"/>
              <w:right w:type="dxa" w:w="100"/>
            </w:tcMar>
          </w:tcPr>
          <w:p>
            <w:r>
              <w:rPr>
                <w:b w:val="false"/>
                <w:bCs w:val="false"/>
                <w:sz w:val="20"/>
                <w:szCs w:val="20"/>
              </w:rPr>
              <w:t xml:space="preserve">This is the bar LyASC must match or beat with an adaptive mechanism</w:t>
            </w:r>
          </w:p>
        </w:tc>
      </w:tr>
      <w:tr>
        <w:tc>
          <w:tcPr>
            <w:tcW w:type="dxa" w:w="3400"/>
            <w:tcMar>
              <w:top w:type="dxa" w:w="80"/>
              <w:left w:type="dxa" w:w="100"/>
              <w:bottom w:type="dxa" w:w="80"/>
              <w:right w:type="dxa" w:w="100"/>
            </w:tcMar>
          </w:tcPr>
          <w:p>
            <w:r>
              <w:rPr>
                <w:b w:val="false"/>
                <w:bCs w:val="false"/>
                <w:sz w:val="20"/>
                <w:szCs w:val="20"/>
              </w:rPr>
              <w:t xml:space="preserve">An unconstrained learned gate (wSkip+LN) is fragile and underperforms</w:t>
            </w:r>
          </w:p>
        </w:tc>
        <w:tc>
          <w:tcPr>
            <w:tcW w:type="dxa" w:w="3200"/>
            <w:tcMar>
              <w:top w:type="dxa" w:w="80"/>
              <w:left w:type="dxa" w:w="100"/>
              <w:bottom w:type="dxa" w:w="80"/>
              <w:right w:type="dxa" w:w="100"/>
            </w:tcMar>
          </w:tcPr>
          <w:p>
            <w:r>
              <w:rPr>
                <w:b w:val="false"/>
                <w:bCs w:val="false"/>
                <w:sz w:val="20"/>
                <w:szCs w:val="20"/>
              </w:rPr>
              <w:t xml:space="preserve">8.16% vs paper 8.66%, required 2 mitigation attempts (weight-decay exclusion, then 0.1x LR on the gate) just to train</w:t>
            </w:r>
          </w:p>
        </w:tc>
        <w:tc>
          <w:tcPr>
            <w:tcW w:type="dxa" w:w="3400"/>
            <w:tcMar>
              <w:top w:type="dxa" w:w="80"/>
              <w:left w:type="dxa" w:w="100"/>
              <w:bottom w:type="dxa" w:w="80"/>
              <w:right w:type="dxa" w:w="100"/>
            </w:tcMar>
          </w:tcPr>
          <w:p>
            <w:r>
              <w:rPr>
                <w:b w:val="false"/>
                <w:bCs w:val="false"/>
                <w:sz w:val="20"/>
                <w:szCs w:val="20"/>
              </w:rPr>
              <w:t xml:space="preserve">Direct empirical motivation: "learn freely" is worse than "fixed schedule" — the gate needs a grounding signal, not just gradient descent</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LN-augmented variants all show a large transient gradient spike in the first ~1000 iterations</w:t>
            </w:r>
          </w:p>
        </w:tc>
        <w:tc>
          <w:tcPr>
            <w:tcW w:type="dxa" w:w="3200"/>
            <w:shd w:fill="F2F2F2" w:color="auto" w:val="clear"/>
            <w:tcMar>
              <w:top w:type="dxa" w:w="80"/>
              <w:left w:type="dxa" w:w="100"/>
              <w:bottom w:type="dxa" w:w="80"/>
              <w:right w:type="dxa" w:w="100"/>
            </w:tcMar>
          </w:tcPr>
          <w:p>
            <w:r>
              <w:rPr>
                <w:b w:val="false"/>
                <w:bCs w:val="false"/>
                <w:sz w:val="20"/>
                <w:szCs w:val="20"/>
              </w:rPr>
              <w:t xml:space="preserve">grad_norm in the hundreds-to-thousands, self-healing by ~2000 iters for stable variants, fatal for catastrophic variants</w:t>
            </w:r>
          </w:p>
        </w:tc>
        <w:tc>
          <w:tcPr>
            <w:tcW w:type="dxa" w:w="3400"/>
            <w:shd w:fill="F2F2F2" w:color="auto" w:val="clear"/>
            <w:tcMar>
              <w:top w:type="dxa" w:w="80"/>
              <w:left w:type="dxa" w:w="100"/>
              <w:bottom w:type="dxa" w:w="80"/>
              <w:right w:type="dxa" w:w="100"/>
            </w:tcMar>
          </w:tcPr>
          <w:p>
            <w:r>
              <w:rPr>
                <w:b w:val="false"/>
                <w:bCs w:val="false"/>
                <w:sz w:val="20"/>
                <w:szCs w:val="20"/>
              </w:rPr>
              <w:t xml:space="preserve">LyASC's estimator will see the same transient — cold-start handling is mandatory, not optional</w:t>
            </w:r>
          </w:p>
        </w:tc>
      </w:tr>
      <w:tr>
        <w:tc>
          <w:tcPr>
            <w:tcW w:type="dxa" w:w="3400"/>
            <w:tcMar>
              <w:top w:type="dxa" w:w="80"/>
              <w:left w:type="dxa" w:w="100"/>
              <w:bottom w:type="dxa" w:w="80"/>
              <w:right w:type="dxa" w:w="100"/>
            </w:tcMar>
          </w:tcPr>
          <w:p>
            <w:r>
              <w:rPr>
                <w:b w:val="false"/>
                <w:bCs w:val="false"/>
                <w:sz w:val="20"/>
                <w:szCs w:val="20"/>
              </w:rPr>
              <w:t xml:space="preserve">Contracting / feature-mixing skips are catastrophic and sometimes genuinely bimodal across seeds</w:t>
            </w:r>
          </w:p>
        </w:tc>
        <w:tc>
          <w:tcPr>
            <w:tcW w:type="dxa" w:w="3200"/>
            <w:tcMar>
              <w:top w:type="dxa" w:w="80"/>
              <w:left w:type="dxa" w:w="100"/>
              <w:bottom w:type="dxa" w:w="80"/>
              <w:right w:type="dxa" w:w="100"/>
            </w:tcMar>
          </w:tcPr>
          <w:p>
            <w:r>
              <w:rPr>
                <w:b w:val="false"/>
                <w:bCs w:val="false"/>
                <w:sz w:val="20"/>
                <w:szCs w:val="20"/>
              </w:rPr>
              <w:t xml:space="preserve">LN(x+2F): 37.59% ± 22.83%, one seed escapes cleanly, two plateau</w:t>
            </w:r>
          </w:p>
        </w:tc>
        <w:tc>
          <w:tcPr>
            <w:tcW w:type="dxa" w:w="3400"/>
            <w:tcMar>
              <w:top w:type="dxa" w:w="80"/>
              <w:left w:type="dxa" w:w="100"/>
              <w:bottom w:type="dxa" w:w="80"/>
              <w:right w:type="dxa" w:w="100"/>
            </w:tcMar>
          </w:tcPr>
          <w:p>
            <w:r>
              <w:rPr>
                <w:b w:val="false"/>
                <w:bCs w:val="false"/>
                <w:sz w:val="20"/>
                <w:szCs w:val="20"/>
              </w:rPr>
              <w:t xml:space="preserve">The single hardest, most legible stress test available for any adaptive gate</w:t>
            </w:r>
          </w:p>
        </w:tc>
      </w:tr>
    </w:tbl>
    <w:p>
      <w:pPr>
        <w:spacing w:after="240" w:before="60"/>
      </w:pPr>
      <w:r>
        <w:rPr>
          <w:i/>
          <w:iCs/>
          <w:color w:val="555555"/>
          <w:sz w:val="20"/>
          <w:szCs w:val="20"/>
        </w:rPr>
        <w:t xml:space="preserve">Table 1. Verified base-model findings that ground every LyASC design decision in this document.</w:t>
      </w:r>
    </w:p>
    <w:p>
      <w:pPr>
        <w:pStyle w:val="Heading1"/>
        <w:spacing w:after="160" w:before="360"/>
      </w:pPr>
      <w:r>
        <w:t xml:space="preserve">3. LyASC Architecture — Explained Simply, Then Precisely</w:t>
      </w:r>
    </w:p>
    <w:p>
      <w:pPr>
        <w:pStyle w:val="Heading2"/>
        <w:spacing w:after="120" w:before="280"/>
      </w:pPr>
      <w:r>
        <w:t xml:space="preserve">3.1 The core idea in one sentence</w:t>
      </w:r>
    </w:p>
    <w:p>
      <w:pPr>
        <w:spacing w:after="160" w:line="276"/>
      </w:pPr>
      <w:r>
        <w:t xml:space="preserve">Instead of a human picking how much of the shortcut to use at each layer, LyASC measures — cheaply, during training — whether that layer is currently amplifying or damping small changes, and lets that measurement, not a free parameter, control the blend.</w:t>
      </w:r>
    </w:p>
    <w:p>
      <w:pPr>
        <w:pStyle w:val="Heading2"/>
        <w:spacing w:after="120" w:before="280"/>
      </w:pPr>
      <w:r>
        <w:t xml:space="preserve">3.2 The stability signal, with an everyday analogy</w:t>
      </w:r>
    </w:p>
    <w:p>
      <w:pPr>
        <w:spacing w:after="160" w:line="276"/>
      </w:pPr>
      <w:r>
        <w:t xml:space="preserve">Imagine gently nudging a spinning top. If the nudge dies out and the top returns to spinning smoothly, the system is "stable" at that moment. If the nudge grows and the top starts to wobble more and more, the system is "unstable." A Lyapunov exponent is the mathematical version of asking exactly that question — "if I nudge this system slightly, does the nudge grow or shrink?" — applied to a neural-network layer's transformation instead of a spinning top. LyASC estimates this cheaply using a technique called power iteration: it repeatedly asks the layer "what happens to a small perturbation after you process it?", and how much that perturbation grows or shrinks after a few repetitions gives an estimate of the layer's local stability, called λ (lambda).</w:t>
      </w:r>
    </w:p>
    <w:p>
      <w:pPr>
        <w:pStyle w:val="Heading2"/>
        <w:spacing w:after="120" w:before="280"/>
      </w:pPr>
      <w:r>
        <w:t xml:space="preserve">3.3 Precise formulation</w:t>
      </w:r>
    </w:p>
    <w:p>
      <w:pPr>
        <w:spacing w:after="160" w:line="276"/>
      </w:pPr>
      <w:r>
        <w:t xml:space="preserve">The general form every skip-connection variant in the verified base-model reproduction follows is:</w:t>
      </w:r>
    </w:p>
    <w:p>
      <w:pPr>
        <w:spacing w:after="200"/>
        <w:jc w:val="center"/>
      </w:pPr>
      <w:r>
        <w:rPr>
          <w:i/>
          <w:iCs/>
          <w:sz w:val="24"/>
          <w:szCs w:val="24"/>
        </w:rPr>
        <w:t xml:space="preserve">y = G(λx + F(x, W))</w:t>
      </w:r>
    </w:p>
    <w:p>
      <w:pPr>
        <w:spacing w:after="160" w:line="276"/>
      </w:pPr>
      <w:r>
        <w:t xml:space="preserve">LyASC replaces the fixed or freely-learned λ with a gate α_l computed from an actual measured stability estimate:</w:t>
      </w:r>
    </w:p>
    <w:p>
      <w:pPr>
        <w:spacing w:after="200"/>
        <w:jc w:val="center"/>
      </w:pPr>
      <w:r>
        <w:rPr>
          <w:i/>
          <w:iCs/>
          <w:sz w:val="24"/>
          <w:szCs w:val="24"/>
        </w:rPr>
        <w:t xml:space="preserve">α_l = σ(β_l · (λ_l − λ0))          y_l = α_l · x_l + (1 − α_l) · F_l(x_l)</w:t>
      </w:r>
    </w:p>
    <w:p>
      <w:pPr>
        <w:spacing w:after="160" w:line="276"/>
      </w:pPr>
      <w:r>
        <w:t xml:space="preserve">where λ_l is the finite-time Lyapunov proxy for block l (estimated via power iteration over Jacobian-vector products, smoothed with an exponential moving average), λ0 is a stability threshold, β_l is a per-block learnable sensitivity scalar (initialized to 0, so training starts from an even 50/50 blend), and σ is the sigmoid function. When a block's estimated λ_l is high (locally expanding / unstable), the gate leans toward trusting the shortcut path more; when λ_l is low (locally contracting / well-behaved), the gate leans toward trusting the learned transformation more.</w:t>
      </w:r>
    </w:p>
    <w:p>
      <w:pPr>
        <w:pStyle w:val="Heading2"/>
        <w:spacing w:after="120" w:before="280"/>
      </w:pPr>
      <w:r>
        <w:t xml:space="preserve">3.4 Why this is different from the two existing alternatives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4700"/>
      </w:tblGrid>
      <w:tr>
        <w:trPr>
          <w:tblHeader/>
        </w:trPr>
        <w:tc>
          <w:tcPr>
            <w:tcW w:type="dxa" w:w="3200"/>
            <w:shd w:fill="2F5496" w:color="auto" w:val="clear"/>
            <w:tcMar>
              <w:top w:type="dxa" w:w="80"/>
              <w:left w:type="dxa" w:w="100"/>
              <w:bottom w:type="dxa" w:w="80"/>
              <w:right w:type="dxa" w:w="100"/>
            </w:tcMar>
          </w:tcPr>
          <w:p>
            <w:r>
              <w:rPr>
                <w:b/>
                <w:bCs/>
                <w:color w:val="FFFFFF"/>
                <w:sz w:val="20"/>
                <w:szCs w:val="20"/>
              </w:rPr>
              <w:t xml:space="preserve">Approach</w:t>
            </w:r>
          </w:p>
        </w:tc>
        <w:tc>
          <w:tcPr>
            <w:tcW w:type="dxa" w:w="4500"/>
            <w:shd w:fill="2F5496" w:color="auto" w:val="clear"/>
            <w:tcMar>
              <w:top w:type="dxa" w:w="80"/>
              <w:left w:type="dxa" w:w="100"/>
              <w:bottom w:type="dxa" w:w="80"/>
              <w:right w:type="dxa" w:w="100"/>
            </w:tcMar>
          </w:tcPr>
          <w:p>
            <w:r>
              <w:rPr>
                <w:b/>
                <w:bCs/>
                <w:color w:val="FFFFFF"/>
                <w:sz w:val="20"/>
                <w:szCs w:val="20"/>
              </w:rPr>
              <w:t xml:space="preserve">What decides the blend</w:t>
            </w:r>
          </w:p>
        </w:tc>
        <w:tc>
          <w:tcPr>
            <w:tcW w:type="dxa" w:w="4700"/>
            <w:shd w:fill="2F5496" w:color="auto" w:val="clear"/>
            <w:tcMar>
              <w:top w:type="dxa" w:w="80"/>
              <w:left w:type="dxa" w:w="100"/>
              <w:bottom w:type="dxa" w:w="80"/>
              <w:right w:type="dxa" w:w="100"/>
            </w:tcMar>
          </w:tcPr>
          <w:p>
            <w:r>
              <w:rPr>
                <w:b/>
                <w:bCs/>
                <w:color w:val="FFFFFF"/>
                <w:sz w:val="20"/>
                <w:szCs w:val="20"/>
              </w:rPr>
              <w:t xml:space="preserve">Verified outcome</w:t>
            </w:r>
          </w:p>
        </w:tc>
      </w:tr>
      <w:tr>
        <w:tc>
          <w:tcPr>
            <w:tcW w:type="dxa" w:w="3200"/>
            <w:tcMar>
              <w:top w:type="dxa" w:w="80"/>
              <w:left w:type="dxa" w:w="100"/>
              <w:bottom w:type="dxa" w:w="80"/>
              <w:right w:type="dxa" w:w="100"/>
            </w:tcMar>
          </w:tcPr>
          <w:p>
            <w:r>
              <w:rPr>
                <w:b w:val="false"/>
                <w:bCs w:val="false"/>
                <w:sz w:val="20"/>
                <w:szCs w:val="20"/>
              </w:rPr>
              <w:t xml:space="preserve">Fixed schedule (e.g. rSkip+LN)</w:t>
            </w:r>
          </w:p>
        </w:tc>
        <w:tc>
          <w:tcPr>
            <w:tcW w:type="dxa" w:w="4500"/>
            <w:tcMar>
              <w:top w:type="dxa" w:w="80"/>
              <w:left w:type="dxa" w:w="100"/>
              <w:bottom w:type="dxa" w:w="80"/>
              <w:right w:type="dxa" w:w="100"/>
            </w:tcMar>
          </w:tcPr>
          <w:p>
            <w:r>
              <w:rPr>
                <w:b w:val="false"/>
                <w:bCs w:val="false"/>
                <w:sz w:val="20"/>
                <w:szCs w:val="20"/>
              </w:rPr>
              <w:t xml:space="preserve">A human-chosen constant, same at every layer, never changes during training</w:t>
            </w:r>
          </w:p>
        </w:tc>
        <w:tc>
          <w:tcPr>
            <w:tcW w:type="dxa" w:w="4700"/>
            <w:tcMar>
              <w:top w:type="dxa" w:w="80"/>
              <w:left w:type="dxa" w:w="100"/>
              <w:bottom w:type="dxa" w:w="80"/>
              <w:right w:type="dxa" w:w="100"/>
            </w:tcMar>
          </w:tcPr>
          <w:p>
            <w:r>
              <w:rPr>
                <w:b w:val="false"/>
                <w:bCs w:val="false"/>
                <w:sz w:val="20"/>
                <w:szCs w:val="20"/>
              </w:rPr>
              <w:t xml:space="preserve">Best of the fixed options, but requires manual search per architecture/depth</w:t>
            </w:r>
          </w:p>
        </w:tc>
      </w:tr>
      <w:tr>
        <w:tc>
          <w:tcPr>
            <w:tcW w:type="dxa" w:w="3200"/>
            <w:shd w:fill="F2F2F2" w:color="auto" w:val="clear"/>
            <w:tcMar>
              <w:top w:type="dxa" w:w="80"/>
              <w:left w:type="dxa" w:w="100"/>
              <w:bottom w:type="dxa" w:w="80"/>
              <w:right w:type="dxa" w:w="100"/>
            </w:tcMar>
          </w:tcPr>
          <w:p>
            <w:r>
              <w:rPr>
                <w:b w:val="false"/>
                <w:bCs w:val="false"/>
                <w:sz w:val="20"/>
                <w:szCs w:val="20"/>
              </w:rPr>
              <w:t xml:space="preserve">Freely learned gate (wSkip+LN)</w:t>
            </w:r>
          </w:p>
        </w:tc>
        <w:tc>
          <w:tcPr>
            <w:tcW w:type="dxa" w:w="4500"/>
            <w:shd w:fill="F2F2F2" w:color="auto" w:val="clear"/>
            <w:tcMar>
              <w:top w:type="dxa" w:w="80"/>
              <w:left w:type="dxa" w:w="100"/>
              <w:bottom w:type="dxa" w:w="80"/>
              <w:right w:type="dxa" w:w="100"/>
            </w:tcMar>
          </w:tcPr>
          <w:p>
            <w:r>
              <w:rPr>
                <w:b w:val="false"/>
                <w:bCs w:val="false"/>
                <w:sz w:val="20"/>
                <w:szCs w:val="20"/>
              </w:rPr>
              <w:t xml:space="preserve">Gradient descent alone, with no grounding signal</w:t>
            </w:r>
          </w:p>
        </w:tc>
        <w:tc>
          <w:tcPr>
            <w:tcW w:type="dxa" w:w="4700"/>
            <w:shd w:fill="F2F2F2" w:color="auto" w:val="clear"/>
            <w:tcMar>
              <w:top w:type="dxa" w:w="80"/>
              <w:left w:type="dxa" w:w="100"/>
              <w:bottom w:type="dxa" w:w="80"/>
              <w:right w:type="dxa" w:w="100"/>
            </w:tcMar>
          </w:tcPr>
          <w:p>
            <w:r>
              <w:rPr>
                <w:b w:val="false"/>
                <w:bCs w:val="false"/>
                <w:sz w:val="20"/>
                <w:szCs w:val="20"/>
              </w:rPr>
              <w:t xml:space="preserve">Unstable without hand-tuned mitigations; still underperforms the fixed schedule</w:t>
            </w:r>
          </w:p>
        </w:tc>
      </w:tr>
      <w:tr>
        <w:tc>
          <w:tcPr>
            <w:tcW w:type="dxa" w:w="3200"/>
            <w:tcMar>
              <w:top w:type="dxa" w:w="80"/>
              <w:left w:type="dxa" w:w="100"/>
              <w:bottom w:type="dxa" w:w="80"/>
              <w:right w:type="dxa" w:w="100"/>
            </w:tcMar>
          </w:tcPr>
          <w:p>
            <w:r>
              <w:rPr>
                <w:b w:val="false"/>
                <w:bCs w:val="false"/>
                <w:sz w:val="20"/>
                <w:szCs w:val="20"/>
              </w:rPr>
              <w:t xml:space="preserve">LyASC (proposed)</w:t>
            </w:r>
          </w:p>
        </w:tc>
        <w:tc>
          <w:tcPr>
            <w:tcW w:type="dxa" w:w="4500"/>
            <w:tcMar>
              <w:top w:type="dxa" w:w="80"/>
              <w:left w:type="dxa" w:w="100"/>
              <w:bottom w:type="dxa" w:w="80"/>
              <w:right w:type="dxa" w:w="100"/>
            </w:tcMar>
          </w:tcPr>
          <w:p>
            <w:r>
              <w:rPr>
                <w:b w:val="false"/>
                <w:bCs w:val="false"/>
                <w:sz w:val="20"/>
                <w:szCs w:val="20"/>
              </w:rPr>
              <w:t xml:space="preserve">A measured, real, per-layer stability signal (λ_l), with only the sensitivity to that signal (β_l) learned</w:t>
            </w:r>
          </w:p>
        </w:tc>
        <w:tc>
          <w:tcPr>
            <w:tcW w:type="dxa" w:w="4700"/>
            <w:tcMar>
              <w:top w:type="dxa" w:w="80"/>
              <w:left w:type="dxa" w:w="100"/>
              <w:bottom w:type="dxa" w:w="80"/>
              <w:right w:type="dxa" w:w="100"/>
            </w:tcMar>
          </w:tcPr>
          <w:p>
            <w:r>
              <w:rPr>
                <w:b w:val="false"/>
                <w:bCs w:val="false"/>
                <w:sz w:val="20"/>
                <w:szCs w:val="20"/>
              </w:rPr>
              <w:t xml:space="preserve">Not yet measured — this is precisely the open experimental question Phase 1 answers</w:t>
            </w:r>
          </w:p>
        </w:tc>
      </w:tr>
    </w:tbl>
    <w:p>
      <w:pPr>
        <w:spacing w:after="240" w:before="60"/>
      </w:pPr>
      <w:r>
        <w:rPr>
          <w:i/>
          <w:iCs/>
          <w:color w:val="555555"/>
          <w:sz w:val="20"/>
          <w:szCs w:val="20"/>
        </w:rPr>
        <w:t xml:space="preserve">Table 2. LyASC's positioning relative to the two verified alternative mechanisms.</w:t>
      </w:r>
    </w:p>
    <w:p>
      <w:pPr>
        <w:pStyle w:val="Heading1"/>
        <w:spacing w:after="160" w:before="360"/>
      </w:pPr>
      <w:r>
        <w:t xml:space="preserve">4. Novel Extensions — Ideating Beyond the Original Design</w:t>
      </w:r>
    </w:p>
    <w:p>
      <w:pPr>
        <w:spacing w:after="160" w:line="276"/>
      </w:pPr>
      <w:r>
        <w:t xml:space="preserve">The base LyASC design (Section 3) is already a meaningful contribution: no existing published method uses an online, per-block, dynamical-systems-grounded instability estimate to actuate skip-connection strength. The ideas below are proposed additions — each independently ablatable — intended to substantially deepen the novelty, theoretical grounding, and practical reach of the work for a strong journal submission. Every idea below is stated as a testable hypothesis with a concrete experiment, not just a description, in keeping with the project's "validate cheaply, log every decision" discipline.</w:t>
      </w:r>
    </w:p>
    <w:p>
      <w:pPr>
        <w:pStyle w:val="Heading2"/>
        <w:spacing w:after="120" w:before="280"/>
      </w:pPr>
      <w:r>
        <w:t xml:space="preserve">4.1 Hierarchical / Multi-Scale Lyapunov Estimation</w:t>
      </w:r>
    </w:p>
    <w:p>
      <w:pPr>
        <w:spacing w:after="160" w:line="276"/>
      </w:pPr>
      <w:r>
        <w:t xml:space="preserve">Idea: in addition to the existing per-block λ_l, compute a per-stage aggregate λ_stage (e.g. an EMA over that stage's blocks) and a whole-network λ_global. The gate becomes a function of all three scales: α_l = σ(β_l·(λ_l − λ0) + γ_l·(λ_stage − λ0) + δ_l·(λ_global − λ0)). Rationale: a single layer can look locally stable while sitting inside a stage that is, in aggregate, drifting toward instability (compounding effects across depth) — the original design is blind to this. Testable hypothesis: multi-scale gating reduces the incidence of the "bimodal" failure mode seen in the catastrophic Table 3 rows, since a global early-warning signal can intervene before a local one would.</w:t>
      </w:r>
    </w:p>
    <w:p>
      <w:pPr>
        <w:pStyle w:val="Heading2"/>
        <w:spacing w:after="120" w:before="280"/>
      </w:pPr>
      <w:r>
        <w:t xml:space="preserve">4.2 Adaptive Recompute Interval ("Adaptive-N LyASC")</w:t>
      </w:r>
    </w:p>
    <w:p>
      <w:pPr>
        <w:spacing w:after="160" w:line="276"/>
      </w:pPr>
      <w:r>
        <w:t xml:space="preserve">Idea: rather than a fixed recompute-every-N-steps schedule, let N itself shrink when λ_l's recent EMA variance is high (the layer's stability is changing quickly and needs closer monitoring) and grow when λ_l has been flat (cheap to under-sample a layer that isn't changing). This is a self-tuning compute-allocation mechanism layered on top of the existing estimator. Testable hypothesis: adaptive-N achieves the same or better stability-detection quality as fixed small-N, at meaningfully lower average overhead than the ~2% baseline estimate — directly strengthening the paper's practicality argument.</w:t>
      </w:r>
    </w:p>
    <w:p>
      <w:pPr>
        <w:pStyle w:val="Heading2"/>
        <w:spacing w:after="120" w:before="280"/>
      </w:pPr>
      <w:r>
        <w:t xml:space="preserve">4.3 Stability-Gated Conditional Computation</w:t>
      </w:r>
    </w:p>
    <w:p>
      <w:pPr>
        <w:spacing w:after="160" w:line="276"/>
      </w:pPr>
      <w:r>
        <w:t xml:space="preserve">Idea: extend the gate's role beyond blending — when α_l is very close to 1 (block is behaving almost like a pure identity), skip the residual branch's computation entirely for that forward pass (a stability-triggered form of stochastic depth / early-exit, distinct from prior conditional-computation work because the skip decision is grounded in a measured dynamical signal rather than a learned or random gate). Testable hypothesis: this recovers most of LyASC's accuracy benefit at a real wall-clock speedup, since verified base-model results already show late-stage blocks in stable variants tend toward near-identity behavior.</w:t>
      </w:r>
    </w:p>
    <w:p>
      <w:pPr>
        <w:pStyle w:val="Heading2"/>
        <w:spacing w:after="120" w:before="280"/>
      </w:pPr>
      <w:r>
        <w:t xml:space="preserve">4.4 Lyapunov Spectrum Regularization</w:t>
      </w:r>
    </w:p>
    <w:p>
      <w:pPr>
        <w:spacing w:after="160" w:line="276"/>
      </w:pPr>
      <w:r>
        <w:t xml:space="preserve">Idea: add an explicit auxiliary loss term that penalizes the network for letting the distribution of λ_l values across all blocks drift outside a target band (e.g. a soft penalty on blocks whose λ_l exceeds a ceiling), turning stability from something the gate merely reacts to into something the whole network is trained to maintain. Testable hypothesis: this directly reduces the frequency and severity of the ~1000-iteration cold-start gradient spike documented in the base-model reproduction, since it discourages the network from ever entering the high-λ regime in the first place, rather than only reacting once there.</w:t>
      </w:r>
    </w:p>
    <w:p>
      <w:pPr>
        <w:pStyle w:val="Heading2"/>
        <w:spacing w:after="120" w:before="280"/>
      </w:pPr>
      <w:r>
        <w:t xml:space="preserve">4.5 Cross-Block Stability Message Passing</w:t>
      </w:r>
    </w:p>
    <w:p>
      <w:pPr>
        <w:spacing w:after="160" w:line="276"/>
      </w:pPr>
      <w:r>
        <w:t xml:space="preserve">Idea: rather than each block's estimator working in total isolation, let adjacent blocks' smoothed λ estimates be lightly averaged with their neighbors (a one-hop, non-learned message pass along the depth axis) before feeding the gate. Rationale: instability in deep networks often propagates — an unstable block can destabilize what follows it — so a block's *effective* local risk is better estimated with a small amount of context from its neighborhood. Testable hypothesis: this improves early detection lead-time on the bimodal Table-3-equivalent stress test specifically, since the seeds that plateau likely show a detectable destabilizing trend one or two blocks upstream before the block itself looks unstable in isolation.</w:t>
      </w:r>
    </w:p>
    <w:p>
      <w:pPr>
        <w:pStyle w:val="Heading2"/>
        <w:spacing w:after="120" w:before="280"/>
      </w:pPr>
      <w:r>
        <w:t xml:space="preserve">4.6 Uncertainty-Aware (Bayesian) Gate</w:t>
      </w:r>
    </w:p>
    <w:p>
      <w:pPr>
        <w:spacing w:after="160" w:line="276"/>
      </w:pPr>
      <w:r>
        <w:t xml:space="preserve">Idea: instead of a single point-estimate β_l, model it as a small learned Gaussian (mean and log-variance), sample during training (encouraging exploration of blend ratios early on), and anneal the variance toward zero over training (converging to a deterministic gate by the time the LR schedule reaches its final phase). Testable hypothesis: this reduces sensitivity to β_l's initialization (Section 8, open question 4 of the architecture spec) and may make LyASC more robust across the depth-scaling sweep (Table 6 equivalent) without per-depth retuning.</w:t>
      </w:r>
    </w:p>
    <w:p>
      <w:pPr>
        <w:pStyle w:val="Heading2"/>
        <w:spacing w:after="120" w:before="280"/>
      </w:pPr>
      <w:r>
        <w:t xml:space="preserve">4.7 Second-Order (Curvature-Aware) Extension</w:t>
      </w:r>
    </w:p>
    <w:p>
      <w:pPr>
        <w:spacing w:after="160" w:line="276"/>
      </w:pPr>
      <w:r>
        <w:t xml:space="preserve">Idea: augment the first-order Lyapunov proxy with a cheap Hessian-vector-product-based curvature term, giving the gate a richer signal than "expanding vs. contracting" alone — specifically, distinguishing a layer that is expanding smoothly from one that is expanding erratically (high curvature), which prior work on loss-landscape sharpness suggests behaves very differently under SGD. Flagged explicitly as a higher-compute ablation, not part of the default Phase 1 configuration — proposed as a Phase 2 extension once the first-order version is validated.</w:t>
      </w:r>
    </w:p>
    <w:p>
      <w:pPr>
        <w:pStyle w:val="Heading2"/>
        <w:spacing w:after="120" w:before="280"/>
      </w:pPr>
      <w:r>
        <w:t xml:space="preserve">4.8 Extension to Transformer Residual Streams</w:t>
      </w:r>
    </w:p>
    <w:p>
      <w:pPr>
        <w:spacing w:after="160" w:line="276"/>
      </w:pPr>
      <w:r>
        <w:t xml:space="preserve">Idea: the base paper's second track (IWSLT/WMT machine translation with Transformers, out of scope for this reproduction's Phase 1) uses the exact same y = G(λx + F(x,W)) general form for attention and feed-forward sub-layer residuals. LyASC's mechanism transfers directly — F_l becomes the attention or feed-forward sub-layer, and the same power-iteration estimator applies to token-level Jacobian-vector products. This is proposed as an explicit Phase 2 scope extension, giving the eventual paper a second modality (matching the base paper's own two-track structure) and substantially broadening its claimed generality beyond CNNs.</w:t>
      </w:r>
    </w:p>
    <w:p>
      <w:pPr>
        <w:pStyle w:val="Heading2"/>
        <w:spacing w:after="120" w:before="280"/>
      </w:pPr>
      <w:r>
        <w:t xml:space="preserve">4.9 Stability Maps — An Interpretability Contribution</w:t>
      </w:r>
    </w:p>
    <w:p>
      <w:pPr>
        <w:spacing w:after="160" w:line="276"/>
      </w:pPr>
      <w:r>
        <w:t xml:space="preserve">Idea: since α_l is computed and logged at every block and every recompute step, the trained network's full "stability map" (α_l by depth by training iteration) is a novel visualization not available for any fixed-schedule or freely-learned baseline. Testable hypothesis: the stability map's shape (e.g., whether instability concentrates at specific depths or specific training phases) is predictive of generalization gap across variants — if true, this is a standalone interpretability contribution independent of whether LyASC beats its accuracy baselines, and a natural figure for the eventual paper (directly analogous to the base paper's own Figure 3 gradient-norm bar charts, but per-layer and over training time rather than a single snapshot).</w:t>
      </w:r>
    </w:p>
    <w:p>
      <w:pPr>
        <w:pStyle w:val="Heading2"/>
        <w:spacing w:after="120" w:before="280"/>
      </w:pPr>
      <w:r>
        <w:t xml:space="preserve">4.10 Tightened Theoretical Bound, Empirically Validated</w:t>
      </w:r>
    </w:p>
    <w:p>
      <w:pPr>
        <w:spacing w:after="160" w:line="276"/>
      </w:pPr>
      <w:r>
        <w:t xml:space="preserve">The existing bounded-sensitivity proposition (any Lipschitz residual branch, gate satisfying α_l ≥ 1 − 1/L_l under detected expansion, per-block sensitivity bounded independent of L_l) is currently stated but not yet empirically checked against measured L_l values. Idea: use the same power-iteration infrastructure already built for the gate itself to *measure* the empirical Lipschitz constants of trained F_l branches across all base-model and LyASC variants, and directly check whether the proposition's bound holds in practice — turning a theoretical claim into a falsifiable, reported, and reproducible empirical result, which is exactly the kind of load-bearing evidence a strong journal submission needs.</w:t>
      </w:r>
    </w:p>
    <w:p>
      <w:pPr>
        <w:pStyle w:val="Heading3"/>
        <w:spacing w:after="100" w:before="200"/>
      </w:pPr>
      <w:r>
        <w:t xml:space="preserve">Summary of proposed extensions and where they sit in the research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5300"/>
      </w:tblGrid>
      <w:tr>
        <w:trPr>
          <w:tblHeader/>
        </w:trPr>
        <w:tc>
          <w:tcPr>
            <w:tcW w:type="dxa" w:w="3400"/>
            <w:shd w:fill="2F5496" w:color="auto" w:val="clear"/>
            <w:tcMar>
              <w:top w:type="dxa" w:w="80"/>
              <w:left w:type="dxa" w:w="100"/>
              <w:bottom w:type="dxa" w:w="80"/>
              <w:right w:type="dxa" w:w="100"/>
            </w:tcMar>
          </w:tcPr>
          <w:p>
            <w:r>
              <w:rPr>
                <w:b/>
                <w:bCs/>
                <w:color w:val="FFFFFF"/>
                <w:sz w:val="20"/>
                <w:szCs w:val="20"/>
              </w:rPr>
              <w:t xml:space="preserve">Extension</w:t>
            </w:r>
          </w:p>
        </w:tc>
        <w:tc>
          <w:tcPr>
            <w:tcW w:type="dxa" w:w="2200"/>
            <w:shd w:fill="2F5496" w:color="auto" w:val="clear"/>
            <w:tcMar>
              <w:top w:type="dxa" w:w="80"/>
              <w:left w:type="dxa" w:w="100"/>
              <w:bottom w:type="dxa" w:w="80"/>
              <w:right w:type="dxa" w:w="100"/>
            </w:tcMar>
          </w:tcPr>
          <w:p>
            <w:r>
              <w:rPr>
                <w:b/>
                <w:bCs/>
                <w:color w:val="FFFFFF"/>
                <w:sz w:val="20"/>
                <w:szCs w:val="20"/>
              </w:rPr>
              <w:t xml:space="preserve">Phase</w:t>
            </w:r>
          </w:p>
        </w:tc>
        <w:tc>
          <w:tcPr>
            <w:tcW w:type="dxa" w:w="5300"/>
            <w:shd w:fill="2F5496" w:color="auto" w:val="clear"/>
            <w:tcMar>
              <w:top w:type="dxa" w:w="80"/>
              <w:left w:type="dxa" w:w="100"/>
              <w:bottom w:type="dxa" w:w="80"/>
              <w:right w:type="dxa" w:w="100"/>
            </w:tcMar>
          </w:tcPr>
          <w:p>
            <w:r>
              <w:rPr>
                <w:b/>
                <w:bCs/>
                <w:color w:val="FFFFFF"/>
                <w:sz w:val="20"/>
                <w:szCs w:val="20"/>
              </w:rPr>
              <w:t xml:space="preserve">Primary payoff for the paper</w:t>
            </w:r>
          </w:p>
        </w:tc>
      </w:tr>
      <w:tr>
        <w:tc>
          <w:tcPr>
            <w:tcW w:type="dxa" w:w="3400"/>
            <w:tcMar>
              <w:top w:type="dxa" w:w="80"/>
              <w:left w:type="dxa" w:w="100"/>
              <w:bottom w:type="dxa" w:w="80"/>
              <w:right w:type="dxa" w:w="100"/>
            </w:tcMar>
          </w:tcPr>
          <w:p>
            <w:r>
              <w:rPr>
                <w:b w:val="false"/>
                <w:bCs w:val="false"/>
                <w:sz w:val="20"/>
                <w:szCs w:val="20"/>
              </w:rPr>
              <w:t xml:space="preserve">4.1 Multi-scale Lyapunov estimation</w:t>
            </w:r>
          </w:p>
        </w:tc>
        <w:tc>
          <w:tcPr>
            <w:tcW w:type="dxa" w:w="2200"/>
            <w:tcMar>
              <w:top w:type="dxa" w:w="80"/>
              <w:left w:type="dxa" w:w="100"/>
              <w:bottom w:type="dxa" w:w="80"/>
              <w:right w:type="dxa" w:w="100"/>
            </w:tcMar>
          </w:tcPr>
          <w:p>
            <w:r>
              <w:rPr>
                <w:b w:val="false"/>
                <w:bCs w:val="false"/>
                <w:sz w:val="20"/>
                <w:szCs w:val="20"/>
              </w:rPr>
              <w:t xml:space="preserve">Phase 1 ablation</w:t>
            </w:r>
          </w:p>
        </w:tc>
        <w:tc>
          <w:tcPr>
            <w:tcW w:type="dxa" w:w="5300"/>
            <w:tcMar>
              <w:top w:type="dxa" w:w="80"/>
              <w:left w:type="dxa" w:w="100"/>
              <w:bottom w:type="dxa" w:w="80"/>
              <w:right w:type="dxa" w:w="100"/>
            </w:tcMar>
          </w:tcPr>
          <w:p>
            <w:r>
              <w:rPr>
                <w:b w:val="false"/>
                <w:bCs w:val="false"/>
                <w:sz w:val="20"/>
                <w:szCs w:val="20"/>
              </w:rPr>
              <w:t xml:space="preserve">Addresses compounding-instability blind spot of pure per-block signal</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4.2 Adaptive-N recompute</w:t>
            </w:r>
          </w:p>
        </w:tc>
        <w:tc>
          <w:tcPr>
            <w:tcW w:type="dxa" w:w="2200"/>
            <w:shd w:fill="F2F2F2" w:color="auto" w:val="clear"/>
            <w:tcMar>
              <w:top w:type="dxa" w:w="80"/>
              <w:left w:type="dxa" w:w="100"/>
              <w:bottom w:type="dxa" w:w="80"/>
              <w:right w:type="dxa" w:w="100"/>
            </w:tcMar>
          </w:tcPr>
          <w:p>
            <w:r>
              <w:rPr>
                <w:b w:val="false"/>
                <w:bCs w:val="false"/>
                <w:sz w:val="20"/>
                <w:szCs w:val="20"/>
              </w:rPr>
              <w:t xml:space="preserve">Phase 1 ablation</w:t>
            </w:r>
          </w:p>
        </w:tc>
        <w:tc>
          <w:tcPr>
            <w:tcW w:type="dxa" w:w="5300"/>
            <w:shd w:fill="F2F2F2" w:color="auto" w:val="clear"/>
            <w:tcMar>
              <w:top w:type="dxa" w:w="80"/>
              <w:left w:type="dxa" w:w="100"/>
              <w:bottom w:type="dxa" w:w="80"/>
              <w:right w:type="dxa" w:w="100"/>
            </w:tcMar>
          </w:tcPr>
          <w:p>
            <w:r>
              <w:rPr>
                <w:b w:val="false"/>
                <w:bCs w:val="false"/>
                <w:sz w:val="20"/>
                <w:szCs w:val="20"/>
              </w:rPr>
              <w:t xml:space="preserve">Strengthens the practicality / overhead argument</w:t>
            </w:r>
          </w:p>
        </w:tc>
      </w:tr>
      <w:tr>
        <w:tc>
          <w:tcPr>
            <w:tcW w:type="dxa" w:w="3400"/>
            <w:tcMar>
              <w:top w:type="dxa" w:w="80"/>
              <w:left w:type="dxa" w:w="100"/>
              <w:bottom w:type="dxa" w:w="80"/>
              <w:right w:type="dxa" w:w="100"/>
            </w:tcMar>
          </w:tcPr>
          <w:p>
            <w:r>
              <w:rPr>
                <w:b w:val="false"/>
                <w:bCs w:val="false"/>
                <w:sz w:val="20"/>
                <w:szCs w:val="20"/>
              </w:rPr>
              <w:t xml:space="preserve">4.3 Stability-gated conditional computation</w:t>
            </w:r>
          </w:p>
        </w:tc>
        <w:tc>
          <w:tcPr>
            <w:tcW w:type="dxa" w:w="2200"/>
            <w:tcMar>
              <w:top w:type="dxa" w:w="80"/>
              <w:left w:type="dxa" w:w="100"/>
              <w:bottom w:type="dxa" w:w="80"/>
              <w:right w:type="dxa" w:w="100"/>
            </w:tcMar>
          </w:tcPr>
          <w:p>
            <w:r>
              <w:rPr>
                <w:b w:val="false"/>
                <w:bCs w:val="false"/>
                <w:sz w:val="20"/>
                <w:szCs w:val="20"/>
              </w:rPr>
              <w:t xml:space="preserve">Phase 1/2</w:t>
            </w:r>
          </w:p>
        </w:tc>
        <w:tc>
          <w:tcPr>
            <w:tcW w:type="dxa" w:w="5300"/>
            <w:tcMar>
              <w:top w:type="dxa" w:w="80"/>
              <w:left w:type="dxa" w:w="100"/>
              <w:bottom w:type="dxa" w:w="80"/>
              <w:right w:type="dxa" w:w="100"/>
            </w:tcMar>
          </w:tcPr>
          <w:p>
            <w:r>
              <w:rPr>
                <w:b w:val="false"/>
                <w:bCs w:val="false"/>
                <w:sz w:val="20"/>
                <w:szCs w:val="20"/>
              </w:rPr>
              <w:t xml:space="preserve">Turns stability signal into a real wall-clock speedup, not just accuracy</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4.4 Lyapunov spectrum regularization</w:t>
            </w:r>
          </w:p>
        </w:tc>
        <w:tc>
          <w:tcPr>
            <w:tcW w:type="dxa" w:w="2200"/>
            <w:shd w:fill="F2F2F2" w:color="auto" w:val="clear"/>
            <w:tcMar>
              <w:top w:type="dxa" w:w="80"/>
              <w:left w:type="dxa" w:w="100"/>
              <w:bottom w:type="dxa" w:w="80"/>
              <w:right w:type="dxa" w:w="100"/>
            </w:tcMar>
          </w:tcPr>
          <w:p>
            <w:r>
              <w:rPr>
                <w:b w:val="false"/>
                <w:bCs w:val="false"/>
                <w:sz w:val="20"/>
                <w:szCs w:val="20"/>
              </w:rPr>
              <w:t xml:space="preserve">Phase 1 ablation</w:t>
            </w:r>
          </w:p>
        </w:tc>
        <w:tc>
          <w:tcPr>
            <w:tcW w:type="dxa" w:w="5300"/>
            <w:shd w:fill="F2F2F2" w:color="auto" w:val="clear"/>
            <w:tcMar>
              <w:top w:type="dxa" w:w="80"/>
              <w:left w:type="dxa" w:w="100"/>
              <w:bottom w:type="dxa" w:w="80"/>
              <w:right w:type="dxa" w:w="100"/>
            </w:tcMar>
          </w:tcPr>
          <w:p>
            <w:r>
              <w:rPr>
                <w:b w:val="false"/>
                <w:bCs w:val="false"/>
                <w:sz w:val="20"/>
                <w:szCs w:val="20"/>
              </w:rPr>
              <w:t xml:space="preserve">Proactive rather than reactive stability control; targets cold-start spike directly</w:t>
            </w:r>
          </w:p>
        </w:tc>
      </w:tr>
      <w:tr>
        <w:tc>
          <w:tcPr>
            <w:tcW w:type="dxa" w:w="3400"/>
            <w:tcMar>
              <w:top w:type="dxa" w:w="80"/>
              <w:left w:type="dxa" w:w="100"/>
              <w:bottom w:type="dxa" w:w="80"/>
              <w:right w:type="dxa" w:w="100"/>
            </w:tcMar>
          </w:tcPr>
          <w:p>
            <w:r>
              <w:rPr>
                <w:b w:val="false"/>
                <w:bCs w:val="false"/>
                <w:sz w:val="20"/>
                <w:szCs w:val="20"/>
              </w:rPr>
              <w:t xml:space="preserve">4.5 Cross-block message passing</w:t>
            </w:r>
          </w:p>
        </w:tc>
        <w:tc>
          <w:tcPr>
            <w:tcW w:type="dxa" w:w="2200"/>
            <w:tcMar>
              <w:top w:type="dxa" w:w="80"/>
              <w:left w:type="dxa" w:w="100"/>
              <w:bottom w:type="dxa" w:w="80"/>
              <w:right w:type="dxa" w:w="100"/>
            </w:tcMar>
          </w:tcPr>
          <w:p>
            <w:r>
              <w:rPr>
                <w:b w:val="false"/>
                <w:bCs w:val="false"/>
                <w:sz w:val="20"/>
                <w:szCs w:val="20"/>
              </w:rPr>
              <w:t xml:space="preserve">Phase 2</w:t>
            </w:r>
          </w:p>
        </w:tc>
        <w:tc>
          <w:tcPr>
            <w:tcW w:type="dxa" w:w="5300"/>
            <w:tcMar>
              <w:top w:type="dxa" w:w="80"/>
              <w:left w:type="dxa" w:w="100"/>
              <w:bottom w:type="dxa" w:w="80"/>
              <w:right w:type="dxa" w:w="100"/>
            </w:tcMar>
          </w:tcPr>
          <w:p>
            <w:r>
              <w:rPr>
                <w:b w:val="false"/>
                <w:bCs w:val="false"/>
                <w:sz w:val="20"/>
                <w:szCs w:val="20"/>
              </w:rPr>
              <w:t xml:space="preserve">Improves early detection on the bimodal stress test specifically</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4.6 Bayesian gate</w:t>
            </w:r>
          </w:p>
        </w:tc>
        <w:tc>
          <w:tcPr>
            <w:tcW w:type="dxa" w:w="2200"/>
            <w:shd w:fill="F2F2F2" w:color="auto" w:val="clear"/>
            <w:tcMar>
              <w:top w:type="dxa" w:w="80"/>
              <w:left w:type="dxa" w:w="100"/>
              <w:bottom w:type="dxa" w:w="80"/>
              <w:right w:type="dxa" w:w="100"/>
            </w:tcMar>
          </w:tcPr>
          <w:p>
            <w:r>
              <w:rPr>
                <w:b w:val="false"/>
                <w:bCs w:val="false"/>
                <w:sz w:val="20"/>
                <w:szCs w:val="20"/>
              </w:rPr>
              <w:t xml:space="preserve">Phase 2</w:t>
            </w:r>
          </w:p>
        </w:tc>
        <w:tc>
          <w:tcPr>
            <w:tcW w:type="dxa" w:w="5300"/>
            <w:shd w:fill="F2F2F2" w:color="auto" w:val="clear"/>
            <w:tcMar>
              <w:top w:type="dxa" w:w="80"/>
              <w:left w:type="dxa" w:w="100"/>
              <w:bottom w:type="dxa" w:w="80"/>
              <w:right w:type="dxa" w:w="100"/>
            </w:tcMar>
          </w:tcPr>
          <w:p>
            <w:r>
              <w:rPr>
                <w:b w:val="false"/>
                <w:bCs w:val="false"/>
                <w:sz w:val="20"/>
                <w:szCs w:val="20"/>
              </w:rPr>
              <w:t xml:space="preserve">Robustness to init and depth, less manual tuning</w:t>
            </w:r>
          </w:p>
        </w:tc>
      </w:tr>
      <w:tr>
        <w:tc>
          <w:tcPr>
            <w:tcW w:type="dxa" w:w="3400"/>
            <w:tcMar>
              <w:top w:type="dxa" w:w="80"/>
              <w:left w:type="dxa" w:w="100"/>
              <w:bottom w:type="dxa" w:w="80"/>
              <w:right w:type="dxa" w:w="100"/>
            </w:tcMar>
          </w:tcPr>
          <w:p>
            <w:r>
              <w:rPr>
                <w:b w:val="false"/>
                <w:bCs w:val="false"/>
                <w:sz w:val="20"/>
                <w:szCs w:val="20"/>
              </w:rPr>
              <w:t xml:space="preserve">4.7 Curvature-aware estimator</w:t>
            </w:r>
          </w:p>
        </w:tc>
        <w:tc>
          <w:tcPr>
            <w:tcW w:type="dxa" w:w="2200"/>
            <w:tcMar>
              <w:top w:type="dxa" w:w="80"/>
              <w:left w:type="dxa" w:w="100"/>
              <w:bottom w:type="dxa" w:w="80"/>
              <w:right w:type="dxa" w:w="100"/>
            </w:tcMar>
          </w:tcPr>
          <w:p>
            <w:r>
              <w:rPr>
                <w:b w:val="false"/>
                <w:bCs w:val="false"/>
                <w:sz w:val="20"/>
                <w:szCs w:val="20"/>
              </w:rPr>
              <w:t xml:space="preserve">Phase 2</w:t>
            </w:r>
          </w:p>
        </w:tc>
        <w:tc>
          <w:tcPr>
            <w:tcW w:type="dxa" w:w="5300"/>
            <w:tcMar>
              <w:top w:type="dxa" w:w="80"/>
              <w:left w:type="dxa" w:w="100"/>
              <w:bottom w:type="dxa" w:w="80"/>
              <w:right w:type="dxa" w:w="100"/>
            </w:tcMar>
          </w:tcPr>
          <w:p>
            <w:r>
              <w:rPr>
                <w:b w:val="false"/>
                <w:bCs w:val="false"/>
                <w:sz w:val="20"/>
                <w:szCs w:val="20"/>
              </w:rPr>
              <w:t xml:space="preserve">Richer stability signal, deferred pending first-order validation</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4.8 Transformer extension</w:t>
            </w:r>
          </w:p>
        </w:tc>
        <w:tc>
          <w:tcPr>
            <w:tcW w:type="dxa" w:w="2200"/>
            <w:shd w:fill="F2F2F2" w:color="auto" w:val="clear"/>
            <w:tcMar>
              <w:top w:type="dxa" w:w="80"/>
              <w:left w:type="dxa" w:w="100"/>
              <w:bottom w:type="dxa" w:w="80"/>
              <w:right w:type="dxa" w:w="100"/>
            </w:tcMar>
          </w:tcPr>
          <w:p>
            <w:r>
              <w:rPr>
                <w:b w:val="false"/>
                <w:bCs w:val="false"/>
                <w:sz w:val="20"/>
                <w:szCs w:val="20"/>
              </w:rPr>
              <w:t xml:space="preserve">Phase 2 scope expansion</w:t>
            </w:r>
          </w:p>
        </w:tc>
        <w:tc>
          <w:tcPr>
            <w:tcW w:type="dxa" w:w="5300"/>
            <w:shd w:fill="F2F2F2" w:color="auto" w:val="clear"/>
            <w:tcMar>
              <w:top w:type="dxa" w:w="80"/>
              <w:left w:type="dxa" w:w="100"/>
              <w:bottom w:type="dxa" w:w="80"/>
              <w:right w:type="dxa" w:w="100"/>
            </w:tcMar>
          </w:tcPr>
          <w:p>
            <w:r>
              <w:rPr>
                <w:b w:val="false"/>
                <w:bCs w:val="false"/>
                <w:sz w:val="20"/>
                <w:szCs w:val="20"/>
              </w:rPr>
              <w:t xml:space="preserve">Second modality, matches base paper's own two-track structure</w:t>
            </w:r>
          </w:p>
        </w:tc>
      </w:tr>
      <w:tr>
        <w:tc>
          <w:tcPr>
            <w:tcW w:type="dxa" w:w="3400"/>
            <w:tcMar>
              <w:top w:type="dxa" w:w="80"/>
              <w:left w:type="dxa" w:w="100"/>
              <w:bottom w:type="dxa" w:w="80"/>
              <w:right w:type="dxa" w:w="100"/>
            </w:tcMar>
          </w:tcPr>
          <w:p>
            <w:r>
              <w:rPr>
                <w:b w:val="false"/>
                <w:bCs w:val="false"/>
                <w:sz w:val="20"/>
                <w:szCs w:val="20"/>
              </w:rPr>
              <w:t xml:space="preserve">4.9 Stability maps</w:t>
            </w:r>
          </w:p>
        </w:tc>
        <w:tc>
          <w:tcPr>
            <w:tcW w:type="dxa" w:w="2200"/>
            <w:tcMar>
              <w:top w:type="dxa" w:w="80"/>
              <w:left w:type="dxa" w:w="100"/>
              <w:bottom w:type="dxa" w:w="80"/>
              <w:right w:type="dxa" w:w="100"/>
            </w:tcMar>
          </w:tcPr>
          <w:p>
            <w:r>
              <w:rPr>
                <w:b w:val="false"/>
                <w:bCs w:val="false"/>
                <w:sz w:val="20"/>
                <w:szCs w:val="20"/>
              </w:rPr>
              <w:t xml:space="preserve">Reporting / interpretability</w:t>
            </w:r>
          </w:p>
        </w:tc>
        <w:tc>
          <w:tcPr>
            <w:tcW w:type="dxa" w:w="5300"/>
            <w:tcMar>
              <w:top w:type="dxa" w:w="80"/>
              <w:left w:type="dxa" w:w="100"/>
              <w:bottom w:type="dxa" w:w="80"/>
              <w:right w:type="dxa" w:w="100"/>
            </w:tcMar>
          </w:tcPr>
          <w:p>
            <w:r>
              <w:rPr>
                <w:b w:val="false"/>
                <w:bCs w:val="false"/>
                <w:sz w:val="20"/>
                <w:szCs w:val="20"/>
              </w:rPr>
              <w:t xml:space="preserve">Novel figure and possible generalization-gap predictor</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4.10 Empirically validated bound</w:t>
            </w:r>
          </w:p>
        </w:tc>
        <w:tc>
          <w:tcPr>
            <w:tcW w:type="dxa" w:w="2200"/>
            <w:shd w:fill="F2F2F2" w:color="auto" w:val="clear"/>
            <w:tcMar>
              <w:top w:type="dxa" w:w="80"/>
              <w:left w:type="dxa" w:w="100"/>
              <w:bottom w:type="dxa" w:w="80"/>
              <w:right w:type="dxa" w:w="100"/>
            </w:tcMar>
          </w:tcPr>
          <w:p>
            <w:r>
              <w:rPr>
                <w:b w:val="false"/>
                <w:bCs w:val="false"/>
                <w:sz w:val="20"/>
                <w:szCs w:val="20"/>
              </w:rPr>
              <w:t xml:space="preserve">Theory + Phase 1</w:t>
            </w:r>
          </w:p>
        </w:tc>
        <w:tc>
          <w:tcPr>
            <w:tcW w:type="dxa" w:w="5300"/>
            <w:shd w:fill="F2F2F2" w:color="auto" w:val="clear"/>
            <w:tcMar>
              <w:top w:type="dxa" w:w="80"/>
              <w:left w:type="dxa" w:w="100"/>
              <w:bottom w:type="dxa" w:w="80"/>
              <w:right w:type="dxa" w:w="100"/>
            </w:tcMar>
          </w:tcPr>
          <w:p>
            <w:r>
              <w:rPr>
                <w:b w:val="false"/>
                <w:bCs w:val="false"/>
                <w:sz w:val="20"/>
                <w:szCs w:val="20"/>
              </w:rPr>
              <w:t xml:space="preserve">Converts a stated proposition into a falsifiable, reported result</w:t>
            </w:r>
          </w:p>
        </w:tc>
      </w:tr>
    </w:tbl>
    <w:p>
      <w:pPr>
        <w:spacing w:after="240" w:before="60"/>
      </w:pPr>
      <w:r>
        <w:rPr>
          <w:i/>
          <w:iCs/>
          <w:color w:val="555555"/>
          <w:sz w:val="20"/>
          <w:szCs w:val="20"/>
        </w:rPr>
        <w:t xml:space="preserve">Table 3. All proposed novel extensions, sequenced by phase and mapped to their contribution to the eventual paper.</w:t>
      </w:r>
    </w:p>
    <w:p>
      <w:r>
        <w:br w:type="page"/>
      </w:r>
    </w:p>
    <w:p>
      <w:pPr>
        <w:pStyle w:val="Heading1"/>
        <w:spacing w:after="160" w:before="360"/>
      </w:pPr>
      <w:r>
        <w:t xml:space="preserve">5. Complete Implementation Plan</w:t>
      </w:r>
    </w:p>
    <w:p>
      <w:pPr>
        <w:spacing w:after="160" w:line="276"/>
      </w:pPr>
      <w:r>
        <w:t xml:space="preserve">This section restates and extends the existing lyasc_model/plan.md build order, incorporating the novel extensions from Section 4 as explicitly toggleable ablations rather than a rewrite of the core design — the base LyASCSkip and StabilityEstimator modules (already implemented and unit-tested) remain the foundation.</w:t>
      </w:r>
    </w:p>
    <w:p>
      <w:pPr>
        <w:pStyle w:val="Heading2"/>
        <w:spacing w:after="120" w:before="280"/>
      </w:pPr>
      <w:r>
        <w:t xml:space="preserve">5.1 Workspace and module layout (extended)</w:t>
      </w:r>
    </w:p>
    <w:p>
      <w:pPr>
        <w:pStyle w:val="ListParagraph"/>
        <w:numPr>
          <w:ilvl w:val="0"/>
          <w:numId w:val="2"/>
        </w:numPr>
        <w:spacing w:after="80" w:line="264"/>
      </w:pPr>
      <w:r>
        <w:t xml:space="preserve">lyasc_model/src/models/stability_estimator.py — StabilityEstimator (done, unit-tested). Extended with an optional adaptive-N mode (Section 4.2) and an optional multi-scale aggregation hook (Section 4.1), both off by default.</w:t>
      </w:r>
    </w:p>
    <w:p>
      <w:pPr>
        <w:pStyle w:val="ListParagraph"/>
        <w:numPr>
          <w:ilvl w:val="0"/>
          <w:numId w:val="2"/>
        </w:numPr>
        <w:spacing w:after="80" w:line="264"/>
      </w:pPr>
      <w:r>
        <w:t xml:space="preserve">lyasc_model/src/models/lyasc_skip.py — LyASCSkip (done, unit-tested). Extended with an optional Bayesian β_l mode (Section 4.6), off by default.</w:t>
      </w:r>
    </w:p>
    <w:p>
      <w:pPr>
        <w:pStyle w:val="ListParagraph"/>
        <w:numPr>
          <w:ilvl w:val="0"/>
          <w:numId w:val="2"/>
        </w:numPr>
        <w:spacing w:after="80" w:line="264"/>
      </w:pPr>
      <w:r>
        <w:t xml:space="preserve">lyasc_model/src/models/stability_regularizer.py — NEW. Implements the Lyapunov spectrum auxiliary loss (Section 4.4) as a standalone, addable loss term, so it can be toggled per-config without touching the core modules.</w:t>
      </w:r>
    </w:p>
    <w:p>
      <w:pPr>
        <w:pStyle w:val="ListParagraph"/>
        <w:numPr>
          <w:ilvl w:val="0"/>
          <w:numId w:val="2"/>
        </w:numPr>
        <w:spacing w:after="80" w:line="264"/>
      </w:pPr>
      <w:r>
        <w:t xml:space="preserve">lyasc_model/src/models/conditional_compute.py — NEW. Implements the stability-gated early-exit / skip-computation logic (Section 4.3), wrapping PreActBasicBlock.forward() at inference/training time.</w:t>
      </w:r>
    </w:p>
    <w:p>
      <w:pPr>
        <w:pStyle w:val="ListParagraph"/>
        <w:numPr>
          <w:ilvl w:val="0"/>
          <w:numId w:val="2"/>
        </w:numPr>
        <w:spacing w:after="80" w:line="264"/>
      </w:pPr>
      <w:r>
        <w:t xml:space="preserve">lyasc_model/src/tracking/mlflow_tracking.py — NEW. Central experiment-tracking module (Section 6), wired into the existing train.py result-JSON emission point so every run is logged with zero duplicate bookkeeping.</w:t>
      </w:r>
    </w:p>
    <w:p>
      <w:pPr>
        <w:pStyle w:val="ListParagraph"/>
        <w:numPr>
          <w:ilvl w:val="0"/>
          <w:numId w:val="2"/>
        </w:numPr>
        <w:spacing w:after="80" w:line="264"/>
      </w:pPr>
      <w:r>
        <w:t xml:space="preserve">lyasc_model/configs/ — one YAML per experiment family, matching the existing lyasc_table1_equiv.yaml / lyasc_coldstart_ablation.yaml pattern, plus new ones: lyasc_multiscale_ablation.yaml, lyasc_adaptiveN_ablation.yaml, lyasc_regularizer_ablation.yaml, lyasc_conditional_compute_ablation.yaml.</w:t>
      </w:r>
    </w:p>
    <w:p>
      <w:pPr>
        <w:pStyle w:val="Heading2"/>
        <w:spacing w:after="120" w:before="280"/>
      </w:pPr>
      <w:r>
        <w:t xml:space="preserve">5.2 Build order (Steps 1-2 already complete)</w:t>
      </w:r>
    </w:p>
    <w:p>
      <w:pPr>
        <w:pStyle w:val="ListParagraph"/>
        <w:numPr>
          <w:ilvl w:val="0"/>
          <w:numId w:val="3"/>
        </w:numPr>
        <w:spacing w:after="80" w:line="264"/>
      </w:pPr>
      <w:r>
        <w:t xml:space="preserve">Unit tests first for StabilityEstimator and LyASCSkip. COMPLETE — 10/10 passing.</w:t>
      </w:r>
    </w:p>
    <w:p>
      <w:pPr>
        <w:pStyle w:val="ListParagraph"/>
        <w:numPr>
          <w:ilvl w:val="0"/>
          <w:numId w:val="3"/>
        </w:numPr>
        <w:spacing w:after="80" w:line="264"/>
      </w:pPr>
      <w:r>
        <w:t xml:space="preserve">Resolve the 6 open design questions in LyASC_ARCHITECTURE.md Section 8, logged via log_decision(). IN PROGRESS — proposed resolutions pending approval.</w:t>
      </w:r>
    </w:p>
    <w:p>
      <w:pPr>
        <w:pStyle w:val="ListParagraph"/>
        <w:numPr>
          <w:ilvl w:val="0"/>
          <w:numId w:val="3"/>
        </w:numPr>
        <w:spacing w:after="80" w:line="264"/>
      </w:pPr>
      <w:r>
        <w:t xml:space="preserve">Single-seed smoke test confirming beta_l=0 reduces to a stable 50/50 blend, with measured (not assumed) power-iteration overhead.</w:t>
      </w:r>
    </w:p>
    <w:p>
      <w:pPr>
        <w:pStyle w:val="ListParagraph"/>
        <w:numPr>
          <w:ilvl w:val="0"/>
          <w:numId w:val="3"/>
        </w:numPr>
        <w:spacing w:after="80" w:line="264"/>
      </w:pPr>
      <w:r>
        <w:t xml:space="preserve">lyasc_table1_equiv.yaml: full 4-variant, 3-seed comparison (1xSkip, rSkip+LN, wSkip+LN, LyASC) against the verified base_model baselines.</w:t>
      </w:r>
    </w:p>
    <w:p>
      <w:pPr>
        <w:pStyle w:val="ListParagraph"/>
        <w:numPr>
          <w:ilvl w:val="0"/>
          <w:numId w:val="3"/>
        </w:numPr>
        <w:spacing w:after="80" w:line="264"/>
      </w:pPr>
      <w:r>
        <w:t xml:space="preserve">Apply the base-model project's debugging protocol to any instability encountered, unmodified (characterize before touching code, split gradients by parameter group, cap at 3 hypotheses, log everything).</w:t>
      </w:r>
    </w:p>
    <w:p>
      <w:pPr>
        <w:pStyle w:val="ListParagraph"/>
        <w:numPr>
          <w:ilvl w:val="0"/>
          <w:numId w:val="3"/>
        </w:numPr>
        <w:spacing w:after="80" w:line="264"/>
      </w:pPr>
      <w:r>
        <w:t xml:space="preserve">Cold-start ablation: warm-up vs. damped-influence vs. no handling, 3 seeds each.</w:t>
      </w:r>
    </w:p>
    <w:p>
      <w:pPr>
        <w:pStyle w:val="ListParagraph"/>
        <w:numPr>
          <w:ilvl w:val="0"/>
          <w:numId w:val="3"/>
        </w:numPr>
        <w:spacing w:after="80" w:line="264"/>
      </w:pPr>
      <w:r>
        <w:t xml:space="preserve">Table 3 / Table 4 equivalents, only once Steps 4-6 produce a stable, documented configuration.</w:t>
      </w:r>
    </w:p>
    <w:p>
      <w:pPr>
        <w:pStyle w:val="ListParagraph"/>
        <w:numPr>
          <w:ilvl w:val="0"/>
          <w:numId w:val="3"/>
        </w:numPr>
        <w:spacing w:after="80" w:line="264"/>
      </w:pPr>
      <w:r>
        <w:t xml:space="preserve">NEW — Extension ablations (Section 4.1-4.4), each run as its own 3-seed comparison against the Step 4 LyASC configuration as the new internal baseline, not against the original base_model numbers directly (since these are LyASC-vs-LyASC-variant comparisons).</w:t>
      </w:r>
    </w:p>
    <w:p>
      <w:pPr>
        <w:pStyle w:val="ListParagraph"/>
        <w:numPr>
          <w:ilvl w:val="0"/>
          <w:numId w:val="3"/>
        </w:numPr>
        <w:spacing w:after="80" w:line="264"/>
      </w:pPr>
      <w:r>
        <w:t xml:space="preserve">NEW — Stability-map generation and the empirically-validated-bound check (Sections 4.9-4.10), run once a final Phase 1 LyASC configuration is settled, using checkpoints already produced by Steps 4-8.</w:t>
      </w:r>
    </w:p>
    <w:p>
      <w:pPr>
        <w:pStyle w:val="Heading2"/>
        <w:spacing w:after="120" w:before="280"/>
      </w:pPr>
      <w:r>
        <w:t xml:space="preserve">5.3 What stays unchanged (non-negotiable, carried over)</w:t>
      </w:r>
    </w:p>
    <w:p>
      <w:pPr>
        <w:pStyle w:val="ListParagraph"/>
        <w:numPr>
          <w:ilvl w:val="0"/>
          <w:numId w:val="2"/>
        </w:numPr>
        <w:spacing w:after="80" w:line="264"/>
      </w:pPr>
      <w:r>
        <w:t xml:space="preserve">No fabricated results — every number traced to a result JSON on disk.</w:t>
      </w:r>
    </w:p>
    <w:p>
      <w:pPr>
        <w:pStyle w:val="ListParagraph"/>
        <w:numPr>
          <w:ilvl w:val="0"/>
          <w:numId w:val="2"/>
        </w:numPr>
        <w:spacing w:after="80" w:line="264"/>
      </w:pPr>
      <w:r>
        <w:t xml:space="preserve">No silent defaults on open design questions — decide, justify in one sentence, log via log_decision().</w:t>
      </w:r>
    </w:p>
    <w:p>
      <w:pPr>
        <w:pStyle w:val="ListParagraph"/>
        <w:numPr>
          <w:ilvl w:val="0"/>
          <w:numId w:val="2"/>
        </w:numPr>
        <w:spacing w:after="80" w:line="264"/>
      </w:pPr>
      <w:r>
        <w:t xml:space="preserve">Validate cheaply (one seed) before any 3-seed batch, for the core design and for every new extension in Section 4.</w:t>
      </w:r>
    </w:p>
    <w:p>
      <w:pPr>
        <w:pStyle w:val="ListParagraph"/>
        <w:numPr>
          <w:ilvl w:val="0"/>
          <w:numId w:val="2"/>
        </w:numPr>
        <w:spacing w:after="80" w:line="264"/>
      </w:pPr>
      <w:r>
        <w:t xml:space="preserve">A stable-but-unremarkable or negative result for any extension is a valid, reportable outcome — extensions that don't help are still worth reporting as negative ablations, which strengthens rather than weakens the paper.</w:t>
      </w:r>
    </w:p>
    <w:p>
      <w:r>
        <w:br w:type="page"/>
      </w:r>
    </w:p>
    <w:p>
      <w:pPr>
        <w:pStyle w:val="Heading1"/>
        <w:spacing w:after="160" w:before="360"/>
      </w:pPr>
      <w:r>
        <w:t xml:space="preserve">6. Experiment Tracking with MLflow</w:t>
      </w:r>
    </w:p>
    <w:p>
      <w:pPr>
        <w:spacing w:after="160" w:line="276"/>
      </w:pPr>
      <w:r>
        <w:t xml:space="preserve">Every experiment across the base-model reproduction and the LyASC project so far has used raw JSON files plus a hand-maintained decisions.log — this was the right choice for a single-developer reproduction, but the LyASC project now spans dozens of variants, multiple novel extensions (Section 4), and multiple ablation axes, which is exactly the point at which a structured experiment tracker earns its overhead. MLflow is proposed specifically because it can wrap the existing JSON-and-log discipline rather than replace it: every existing result JSON and decisions.log entry becomes an MLflow artifact and a set of MLflow params/metrics, with no loss of the current audit trail.</w:t>
      </w:r>
    </w:p>
    <w:p>
      <w:pPr>
        <w:pStyle w:val="Heading2"/>
        <w:spacing w:after="120" w:before="280"/>
      </w:pPr>
      <w:r>
        <w:t xml:space="preserve">6.1 What gets logged, and where it comes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32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MLflow Element</w:t>
            </w:r>
          </w:p>
        </w:tc>
        <w:tc>
          <w:tcPr>
            <w:tcW w:type="dxa" w:w="5500"/>
            <w:shd w:fill="2F5496" w:color="auto" w:val="clear"/>
            <w:tcMar>
              <w:top w:type="dxa" w:w="80"/>
              <w:left w:type="dxa" w:w="100"/>
              <w:bottom w:type="dxa" w:w="80"/>
              <w:right w:type="dxa" w:w="100"/>
            </w:tcMar>
          </w:tcPr>
          <w:p>
            <w:r>
              <w:rPr>
                <w:b/>
                <w:bCs/>
                <w:color w:val="FFFFFF"/>
                <w:sz w:val="20"/>
                <w:szCs w:val="20"/>
              </w:rPr>
              <w:t xml:space="preserve">Contents</w:t>
            </w:r>
          </w:p>
        </w:tc>
        <w:tc>
          <w:tcPr>
            <w:tcW w:type="dxa" w:w="3200"/>
            <w:shd w:fill="2F5496" w:color="auto" w:val="clear"/>
            <w:tcMar>
              <w:top w:type="dxa" w:w="80"/>
              <w:left w:type="dxa" w:w="100"/>
              <w:bottom w:type="dxa" w:w="80"/>
              <w:right w:type="dxa" w:w="100"/>
            </w:tcMar>
          </w:tcPr>
          <w:p>
            <w:r>
              <w:rPr>
                <w:b/>
                <w:bCs/>
                <w:color w:val="FFFFFF"/>
                <w:sz w:val="20"/>
                <w:szCs w:val="20"/>
              </w:rPr>
              <w:t xml:space="preserve">Source</w:t>
            </w:r>
          </w:p>
        </w:tc>
      </w:tr>
      <w:tr>
        <w:tc>
          <w:tcPr>
            <w:tcW w:type="dxa" w:w="2200"/>
            <w:tcMar>
              <w:top w:type="dxa" w:w="80"/>
              <w:left w:type="dxa" w:w="100"/>
              <w:bottom w:type="dxa" w:w="80"/>
              <w:right w:type="dxa" w:w="100"/>
            </w:tcMar>
          </w:tcPr>
          <w:p>
            <w:r>
              <w:rPr>
                <w:b w:val="false"/>
                <w:bCs w:val="false"/>
                <w:sz w:val="20"/>
                <w:szCs w:val="20"/>
              </w:rPr>
              <w:t xml:space="preserve">Experiment</w:t>
            </w:r>
          </w:p>
        </w:tc>
        <w:tc>
          <w:tcPr>
            <w:tcW w:type="dxa" w:w="5500"/>
            <w:tcMar>
              <w:top w:type="dxa" w:w="80"/>
              <w:left w:type="dxa" w:w="100"/>
              <w:bottom w:type="dxa" w:w="80"/>
              <w:right w:type="dxa" w:w="100"/>
            </w:tcMar>
          </w:tcPr>
          <w:p>
            <w:r>
              <w:rPr>
                <w:b w:val="false"/>
                <w:bCs w:val="false"/>
                <w:sz w:val="20"/>
                <w:szCs w:val="20"/>
              </w:rPr>
              <w:t xml:space="preserve">One per config family (e.g. "lyasc_table1_equiv", "lyasc_coldstart_ablation", "lyasc_multiscale_ablation")</w:t>
            </w:r>
          </w:p>
        </w:tc>
        <w:tc>
          <w:tcPr>
            <w:tcW w:type="dxa" w:w="3200"/>
            <w:tcMar>
              <w:top w:type="dxa" w:w="80"/>
              <w:left w:type="dxa" w:w="100"/>
              <w:bottom w:type="dxa" w:w="80"/>
              <w:right w:type="dxa" w:w="100"/>
            </w:tcMar>
          </w:tcPr>
          <w:p>
            <w:r>
              <w:rPr>
                <w:b w:val="false"/>
                <w:bCs w:val="false"/>
                <w:sz w:val="20"/>
                <w:szCs w:val="20"/>
              </w:rPr>
              <w:t xml:space="preserve">config_name, already present in every result JSON</w:t>
            </w:r>
          </w:p>
        </w:tc>
      </w:tr>
      <w:tr>
        <w:tc>
          <w:tcPr>
            <w:tcW w:type="dxa" w:w="2200"/>
            <w:shd w:fill="F2F2F2" w:color="auto" w:val="clear"/>
            <w:tcMar>
              <w:top w:type="dxa" w:w="80"/>
              <w:left w:type="dxa" w:w="100"/>
              <w:bottom w:type="dxa" w:w="80"/>
              <w:right w:type="dxa" w:w="100"/>
            </w:tcMar>
          </w:tcPr>
          <w:p>
            <w:r>
              <w:rPr>
                <w:b w:val="false"/>
                <w:bCs w:val="false"/>
                <w:sz w:val="20"/>
                <w:szCs w:val="20"/>
              </w:rPr>
              <w:t xml:space="preserve">Run</w:t>
            </w:r>
          </w:p>
        </w:tc>
        <w:tc>
          <w:tcPr>
            <w:tcW w:type="dxa" w:w="5500"/>
            <w:shd w:fill="F2F2F2" w:color="auto" w:val="clear"/>
            <w:tcMar>
              <w:top w:type="dxa" w:w="80"/>
              <w:left w:type="dxa" w:w="100"/>
              <w:bottom w:type="dxa" w:w="80"/>
              <w:right w:type="dxa" w:w="100"/>
            </w:tcMar>
          </w:tcPr>
          <w:p>
            <w:r>
              <w:rPr>
                <w:b w:val="false"/>
                <w:bCs w:val="false"/>
                <w:sz w:val="20"/>
                <w:szCs w:val="20"/>
              </w:rPr>
              <w:t xml:space="preserve">One per (variant, seed) combination — mirrors the existing result_json_path naming convention exactly</w:t>
            </w:r>
          </w:p>
        </w:tc>
        <w:tc>
          <w:tcPr>
            <w:tcW w:type="dxa" w:w="3200"/>
            <w:shd w:fill="F2F2F2" w:color="auto" w:val="clear"/>
            <w:tcMar>
              <w:top w:type="dxa" w:w="80"/>
              <w:left w:type="dxa" w:w="100"/>
              <w:bottom w:type="dxa" w:w="80"/>
              <w:right w:type="dxa" w:w="100"/>
            </w:tcMar>
          </w:tcPr>
          <w:p>
            <w:r>
              <w:rPr>
                <w:b w:val="false"/>
                <w:bCs w:val="false"/>
                <w:sz w:val="20"/>
                <w:szCs w:val="20"/>
              </w:rPr>
              <w:t xml:space="preserve">variant_name, seed, depth</w:t>
            </w:r>
          </w:p>
        </w:tc>
      </w:tr>
      <w:tr>
        <w:tc>
          <w:tcPr>
            <w:tcW w:type="dxa" w:w="2200"/>
            <w:tcMar>
              <w:top w:type="dxa" w:w="80"/>
              <w:left w:type="dxa" w:w="100"/>
              <w:bottom w:type="dxa" w:w="80"/>
              <w:right w:type="dxa" w:w="100"/>
            </w:tcMar>
          </w:tcPr>
          <w:p>
            <w:r>
              <w:rPr>
                <w:b w:val="false"/>
                <w:bCs w:val="false"/>
                <w:sz w:val="20"/>
                <w:szCs w:val="20"/>
              </w:rPr>
              <w:t xml:space="preserve">Params</w:t>
            </w:r>
          </w:p>
        </w:tc>
        <w:tc>
          <w:tcPr>
            <w:tcW w:type="dxa" w:w="5500"/>
            <w:tcMar>
              <w:top w:type="dxa" w:w="80"/>
              <w:left w:type="dxa" w:w="100"/>
              <w:bottom w:type="dxa" w:w="80"/>
              <w:right w:type="dxa" w:w="100"/>
            </w:tcMar>
          </w:tcPr>
          <w:p>
            <w:r>
              <w:rPr>
                <w:b w:val="false"/>
                <w:bCs w:val="false"/>
                <w:sz w:val="20"/>
                <w:szCs w:val="20"/>
              </w:rPr>
              <w:t xml:space="preserve">k, N, ema_decay, lambda0, beta_init_strategy, cold_start_strategy, grad_clip_max_norm, optimizer settings, and — for extensions — adaptive_N enabled, multiscale enabled, regularizer_weight, conditional_compute_threshold</w:t>
            </w:r>
          </w:p>
        </w:tc>
        <w:tc>
          <w:tcPr>
            <w:tcW w:type="dxa" w:w="3200"/>
            <w:tcMar>
              <w:top w:type="dxa" w:w="80"/>
              <w:left w:type="dxa" w:w="100"/>
              <w:bottom w:type="dxa" w:w="80"/>
              <w:right w:type="dxa" w:w="100"/>
            </w:tcMar>
          </w:tcPr>
          <w:p>
            <w:r>
              <w:rPr>
                <w:b w:val="false"/>
                <w:bCs w:val="false"/>
                <w:sz w:val="20"/>
                <w:szCs w:val="20"/>
              </w:rPr>
              <w:t xml:space="preserve">config YAML + CLI args, logged at run start</w:t>
            </w:r>
          </w:p>
        </w:tc>
      </w:tr>
      <w:tr>
        <w:tc>
          <w:tcPr>
            <w:tcW w:type="dxa" w:w="2200"/>
            <w:shd w:fill="F2F2F2" w:color="auto" w:val="clear"/>
            <w:tcMar>
              <w:top w:type="dxa" w:w="80"/>
              <w:left w:type="dxa" w:w="100"/>
              <w:bottom w:type="dxa" w:w="80"/>
              <w:right w:type="dxa" w:w="100"/>
            </w:tcMar>
          </w:tcPr>
          <w:p>
            <w:r>
              <w:rPr>
                <w:b w:val="false"/>
                <w:bCs w:val="false"/>
                <w:sz w:val="20"/>
                <w:szCs w:val="20"/>
              </w:rPr>
              <w:t xml:space="preserve">Metrics (per-step)</w:t>
            </w:r>
          </w:p>
        </w:tc>
        <w:tc>
          <w:tcPr>
            <w:tcW w:type="dxa" w:w="5500"/>
            <w:shd w:fill="F2F2F2" w:color="auto" w:val="clear"/>
            <w:tcMar>
              <w:top w:type="dxa" w:w="80"/>
              <w:left w:type="dxa" w:w="100"/>
              <w:bottom w:type="dxa" w:w="80"/>
              <w:right w:type="dxa" w:w="100"/>
            </w:tcMar>
          </w:tcPr>
          <w:p>
            <w:r>
              <w:rPr>
                <w:b w:val="false"/>
                <w:bCs w:val="false"/>
                <w:sz w:val="20"/>
                <w:szCs w:val="20"/>
              </w:rPr>
              <w:t xml:space="preserve">train_loss, grad_norm, w_grad_norm / other_grad_norm-style splits (extended to beta_grad_norm for LyASC), mean/std of alpha_l across blocks, mean/std of lambda_l across blocks</w:t>
            </w:r>
          </w:p>
        </w:tc>
        <w:tc>
          <w:tcPr>
            <w:tcW w:type="dxa" w:w="3200"/>
            <w:shd w:fill="F2F2F2" w:color="auto" w:val="clear"/>
            <w:tcMar>
              <w:top w:type="dxa" w:w="80"/>
              <w:left w:type="dxa" w:w="100"/>
              <w:bottom w:type="dxa" w:w="80"/>
              <w:right w:type="dxa" w:w="100"/>
            </w:tcMar>
          </w:tcPr>
          <w:p>
            <w:r>
              <w:rPr>
                <w:b w:val="false"/>
                <w:bCs w:val="false"/>
                <w:sz w:val="20"/>
                <w:szCs w:val="20"/>
              </w:rPr>
              <w:t xml:space="preserve">training loop, logged every N steps alongside existing console/file logging</w:t>
            </w:r>
          </w:p>
        </w:tc>
      </w:tr>
      <w:tr>
        <w:tc>
          <w:tcPr>
            <w:tcW w:type="dxa" w:w="2200"/>
            <w:tcMar>
              <w:top w:type="dxa" w:w="80"/>
              <w:left w:type="dxa" w:w="100"/>
              <w:bottom w:type="dxa" w:w="80"/>
              <w:right w:type="dxa" w:w="100"/>
            </w:tcMar>
          </w:tcPr>
          <w:p>
            <w:r>
              <w:rPr>
                <w:b w:val="false"/>
                <w:bCs w:val="false"/>
                <w:sz w:val="20"/>
                <w:szCs w:val="20"/>
              </w:rPr>
              <w:t xml:space="preserve">Metrics (per-run, final)</w:t>
            </w:r>
          </w:p>
        </w:tc>
        <w:tc>
          <w:tcPr>
            <w:tcW w:type="dxa" w:w="5500"/>
            <w:tcMar>
              <w:top w:type="dxa" w:w="80"/>
              <w:left w:type="dxa" w:w="100"/>
              <w:bottom w:type="dxa" w:w="80"/>
              <w:right w:type="dxa" w:w="100"/>
            </w:tcMar>
          </w:tcPr>
          <w:p>
            <w:r>
              <w:rPr>
                <w:b w:val="false"/>
                <w:bCs w:val="false"/>
                <w:sz w:val="20"/>
                <w:szCs w:val="20"/>
              </w:rPr>
              <w:t xml:space="preserve">test_error, mean_error / std_error across seeds (computed at aggregation time), measured power-iteration overhead (%), diff vs. baseline target</w:t>
            </w:r>
          </w:p>
        </w:tc>
        <w:tc>
          <w:tcPr>
            <w:tcW w:type="dxa" w:w="3200"/>
            <w:tcMar>
              <w:top w:type="dxa" w:w="80"/>
              <w:left w:type="dxa" w:w="100"/>
              <w:bottom w:type="dxa" w:w="80"/>
              <w:right w:type="dxa" w:w="100"/>
            </w:tcMar>
          </w:tcPr>
          <w:p>
            <w:r>
              <w:rPr>
                <w:b w:val="false"/>
                <w:bCs w:val="false"/>
                <w:sz w:val="20"/>
                <w:szCs w:val="20"/>
              </w:rPr>
              <w:t xml:space="preserve">evaluate.py / reproduce_tables.py-equivalent aggregation step</w:t>
            </w:r>
          </w:p>
        </w:tc>
      </w:tr>
      <w:tr>
        <w:tc>
          <w:tcPr>
            <w:tcW w:type="dxa" w:w="2200"/>
            <w:shd w:fill="F2F2F2" w:color="auto" w:val="clear"/>
            <w:tcMar>
              <w:top w:type="dxa" w:w="80"/>
              <w:left w:type="dxa" w:w="100"/>
              <w:bottom w:type="dxa" w:w="80"/>
              <w:right w:type="dxa" w:w="100"/>
            </w:tcMar>
          </w:tcPr>
          <w:p>
            <w:r>
              <w:rPr>
                <w:b w:val="false"/>
                <w:bCs w:val="false"/>
                <w:sz w:val="20"/>
                <w:szCs w:val="20"/>
              </w:rPr>
              <w:t xml:space="preserve">Artifacts</w:t>
            </w:r>
          </w:p>
        </w:tc>
        <w:tc>
          <w:tcPr>
            <w:tcW w:type="dxa" w:w="5500"/>
            <w:shd w:fill="F2F2F2" w:color="auto" w:val="clear"/>
            <w:tcMar>
              <w:top w:type="dxa" w:w="80"/>
              <w:left w:type="dxa" w:w="100"/>
              <w:bottom w:type="dxa" w:w="80"/>
              <w:right w:type="dxa" w:w="100"/>
            </w:tcMar>
          </w:tcPr>
          <w:p>
            <w:r>
              <w:rPr>
                <w:b w:val="false"/>
                <w:bCs w:val="false"/>
                <w:sz w:val="20"/>
                <w:szCs w:val="20"/>
              </w:rPr>
              <w:t xml:space="preserve">result JSON, decisions.log snapshot, config YAML, stability-map plot (Section 4.9), final model checkpoint (optionally, for smaller ablations only, given storage cost)</w:t>
            </w:r>
          </w:p>
        </w:tc>
        <w:tc>
          <w:tcPr>
            <w:tcW w:type="dxa" w:w="3200"/>
            <w:shd w:fill="F2F2F2" w:color="auto" w:val="clear"/>
            <w:tcMar>
              <w:top w:type="dxa" w:w="80"/>
              <w:left w:type="dxa" w:w="100"/>
              <w:bottom w:type="dxa" w:w="80"/>
              <w:right w:type="dxa" w:w="100"/>
            </w:tcMar>
          </w:tcPr>
          <w:p>
            <w:r>
              <w:rPr>
                <w:b w:val="false"/>
                <w:bCs w:val="false"/>
                <w:sz w:val="20"/>
                <w:szCs w:val="20"/>
              </w:rPr>
              <w:t xml:space="preserve">existing results/logs and results/checkpoints directories</w:t>
            </w:r>
          </w:p>
        </w:tc>
      </w:tr>
      <w:tr>
        <w:tc>
          <w:tcPr>
            <w:tcW w:type="dxa" w:w="2200"/>
            <w:tcMar>
              <w:top w:type="dxa" w:w="80"/>
              <w:left w:type="dxa" w:w="100"/>
              <w:bottom w:type="dxa" w:w="80"/>
              <w:right w:type="dxa" w:w="100"/>
            </w:tcMar>
          </w:tcPr>
          <w:p>
            <w:r>
              <w:rPr>
                <w:b w:val="false"/>
                <w:bCs w:val="false"/>
                <w:sz w:val="20"/>
                <w:szCs w:val="20"/>
              </w:rPr>
              <w:t xml:space="preserve">Tags</w:t>
            </w:r>
          </w:p>
        </w:tc>
        <w:tc>
          <w:tcPr>
            <w:tcW w:type="dxa" w:w="5500"/>
            <w:tcMar>
              <w:top w:type="dxa" w:w="80"/>
              <w:left w:type="dxa" w:w="100"/>
              <w:bottom w:type="dxa" w:w="80"/>
              <w:right w:type="dxa" w:w="100"/>
            </w:tcMar>
          </w:tcPr>
          <w:p>
            <w:r>
              <w:rPr>
                <w:b w:val="false"/>
                <w:bCs w:val="false"/>
                <w:sz w:val="20"/>
                <w:szCs w:val="20"/>
              </w:rPr>
              <w:t xml:space="preserve">dataset (cifar10/cifar100), depth, base_or_extension, extension_name (if applicable), verified_baseline_reference</w:t>
            </w:r>
          </w:p>
        </w:tc>
        <w:tc>
          <w:tcPr>
            <w:tcW w:type="dxa" w:w="3200"/>
            <w:tcMar>
              <w:top w:type="dxa" w:w="80"/>
              <w:left w:type="dxa" w:w="100"/>
              <w:bottom w:type="dxa" w:w="80"/>
              <w:right w:type="dxa" w:w="100"/>
            </w:tcMar>
          </w:tcPr>
          <w:p>
            <w:r>
              <w:rPr>
                <w:b w:val="false"/>
                <w:bCs w:val="false"/>
                <w:sz w:val="20"/>
                <w:szCs w:val="20"/>
              </w:rPr>
              <w:t xml:space="preserve">config + this document's Section 4 naming</w:t>
            </w:r>
          </w:p>
        </w:tc>
      </w:tr>
    </w:tbl>
    <w:p>
      <w:pPr>
        <w:spacing w:after="240" w:before="60"/>
      </w:pPr>
      <w:r>
        <w:rPr>
          <w:i/>
          <w:iCs/>
          <w:color w:val="555555"/>
          <w:sz w:val="20"/>
          <w:szCs w:val="20"/>
        </w:rPr>
        <w:t xml:space="preserve">Table 4. Complete MLflow logging schema, mapped to existing project artifacts — nothing here requires re-deriving data that isn't already produced.</w:t>
      </w:r>
    </w:p>
    <w:p>
      <w:pPr>
        <w:pStyle w:val="Heading2"/>
        <w:spacing w:after="120" w:before="280"/>
      </w:pPr>
      <w:r>
        <w:t xml:space="preserve">6.2 Why this specifically helps this project</w:t>
      </w:r>
    </w:p>
    <w:p>
      <w:pPr>
        <w:pStyle w:val="ListParagraph"/>
        <w:numPr>
          <w:ilvl w:val="0"/>
          <w:numId w:val="2"/>
        </w:numPr>
        <w:spacing w:after="80" w:line="264"/>
      </w:pPr>
      <w:r>
        <w:t xml:space="preserve">Comparability across dozens of variants: MLflow's run-comparison view directly replaces manually re-reading multiple result JSONs side by side, while the JSONs themselves remain the ground-truth artifact (MLflow ingests them, it doesn't replace them).</w:t>
      </w:r>
    </w:p>
    <w:p>
      <w:pPr>
        <w:pStyle w:val="ListParagraph"/>
        <w:numPr>
          <w:ilvl w:val="0"/>
          <w:numId w:val="2"/>
        </w:numPr>
        <w:spacing w:after="80" w:line="264"/>
      </w:pPr>
      <w:r>
        <w:t xml:space="preserve">Fabrication-proofing: since every metric is logged programmatically at the moment it is computed (not hand-typed into a report afterward), the exact failure mode that caused the earlier Table 4 fabrication incident in the base-model project becomes structurally harder to repeat.</w:t>
      </w:r>
    </w:p>
    <w:p>
      <w:pPr>
        <w:pStyle w:val="ListParagraph"/>
        <w:numPr>
          <w:ilvl w:val="0"/>
          <w:numId w:val="2"/>
        </w:numPr>
        <w:spacing w:after="80" w:line="264"/>
      </w:pPr>
      <w:r>
        <w:t xml:space="preserve">Per-block diagnostic depth: alpha_l and lambda_l distributions (mean, std, per-block breakdown) logged as first-class metrics make the gradient-norm-style diagnostic splits already used for wSkip+LN's investigation (and required by this project's debugging protocol) queryable across every run without re-parsing log files.</w:t>
      </w:r>
    </w:p>
    <w:p>
      <w:pPr>
        <w:pStyle w:val="ListParagraph"/>
        <w:numPr>
          <w:ilvl w:val="0"/>
          <w:numId w:val="2"/>
        </w:numPr>
        <w:spacing w:after="80" w:line="264"/>
      </w:pPr>
      <w:r>
        <w:t xml:space="preserve">Ablation bookkeeping: with 10 proposed extensions (Section 4) each needing their own ablation runs, MLflow's tag/param filtering is what keeps "which config produced which number" tractable at this scale, where a flat results/tables/ directory would become unwieldy.</w:t>
      </w:r>
    </w:p>
    <w:p>
      <w:pPr>
        <w:pStyle w:val="Heading2"/>
        <w:spacing w:after="120" w:before="280"/>
      </w:pPr>
      <w:r>
        <w:t xml:space="preserve">6.3 Integration point in the existing codebase</w:t>
      </w:r>
    </w:p>
    <w:p>
      <w:pPr>
        <w:spacing w:after="160" w:line="276"/>
      </w:pPr>
      <w:r>
        <w:t xml:space="preserve">A single new module, lyasc_model/src/tracking/mlflow_tracking.py (provided alongside this document), wraps three call sites already present in train.py's train_one_run(): (1) at run start, log all resolved config params and tag the run; (2) inside the existing per-step logging block (where grad_norm is already computed and logged to the run_logger), additionally log to MLflow every N steps; (3) at the existing json.dump(result, f) call, log the same result dict as MLflow metrics and register the JSON itself, the decisions.log, and the config YAML as MLflow artifacts. No existing logging is removed — MLflow is strictly additive, so a developer without MLflow installed can still run everything exactly as before.</w:t>
      </w:r>
    </w:p>
    <w:p>
      <w:pPr>
        <w:pStyle w:val="Heading1"/>
        <w:spacing w:after="160" w:before="360"/>
      </w:pPr>
      <w:r>
        <w:t xml:space="preserve">7. Evaluation Protocol (Recap and Extension)</w:t>
      </w:r>
    </w:p>
    <w:p>
      <w:pPr>
        <w:spacing w:after="160" w:line="276"/>
      </w:pPr>
      <w:r>
        <w:t xml:space="preserve">The acceptance criteria defined in lyasc_model/plan.md Section 0 remain unchanged and authoritative for the core LyASC-vs-base_model comparison: "Matches rSkip+LN" (within ±0.4pp of 6.15%), "Beats wSkip+LN" (below 8.16% AND stable without wSkip+LN's LR-multiplier mitigation), or reported exactly as measured with no reframing. Extensions (Section 4) are evaluated against the settled Phase-1 LyASC configuration as their own internal baseline, using the identical ±0.4pp-style tolerance for consistency, and are reported with the same discipline — a negative or neutral extension result is valid and gets reported, not discarded.</w:t>
      </w:r>
    </w:p>
    <w:p>
      <w:pPr>
        <w:pStyle w:val="Heading1"/>
        <w:spacing w:after="160" w:before="360"/>
      </w:pPr>
      <w:r>
        <w:t xml:space="preserve">8. Risks, Limitations, and Threats to Validity</w:t>
      </w:r>
    </w:p>
    <w:p>
      <w:pPr>
        <w:pStyle w:val="ListParagraph"/>
        <w:numPr>
          <w:ilvl w:val="0"/>
          <w:numId w:val="2"/>
        </w:numPr>
        <w:spacing w:after="80" w:line="264"/>
      </w:pPr>
      <w:r>
        <w:t xml:space="preserve">Compute overhead: power iteration, even at k=2, N=10, adds real cost; several extensions (multi-scale, curvature-aware, message passing) add more. Each must have its overhead measured and reported, not assumed, per the existing Section 2.4 discipline.</w:t>
      </w:r>
    </w:p>
    <w:p>
      <w:pPr>
        <w:pStyle w:val="ListParagraph"/>
        <w:numPr>
          <w:ilvl w:val="0"/>
          <w:numId w:val="2"/>
        </w:numPr>
        <w:spacing w:after="80" w:line="264"/>
      </w:pPr>
      <w:r>
        <w:t xml:space="preserve">Single-hardware validation: all reproduction and (planned) LyASC results are produced on a single RTX 3050 (4GB VRAM); depth/dataset scope is deliberately kept small in Phase 1 partly for this reason, and this should be stated explicitly as a scope limitation in the eventual paper.</w:t>
      </w:r>
    </w:p>
    <w:p>
      <w:pPr>
        <w:pStyle w:val="ListParagraph"/>
        <w:numPr>
          <w:ilvl w:val="0"/>
          <w:numId w:val="2"/>
        </w:numPr>
        <w:spacing w:after="80" w:line="264"/>
      </w:pPr>
      <w:r>
        <w:t xml:space="preserve">Estimator fidelity: the finite-time Lyapunov proxy is an approximation (few power-iteration steps, single-sample probe per block — an implementation simplification already flagged for review in Step 1). Its correlation with the true dominant local Lyapunov exponent should itself be validated on a toy case before trusting downstream ablation results, not assumed from the unit test alone.</w:t>
      </w:r>
    </w:p>
    <w:p>
      <w:pPr>
        <w:pStyle w:val="ListParagraph"/>
        <w:numPr>
          <w:ilvl w:val="0"/>
          <w:numId w:val="2"/>
        </w:numPr>
        <w:spacing w:after="80" w:line="264"/>
      </w:pPr>
      <w:r>
        <w:t xml:space="preserve">Multiple-comparisons risk: with 10 proposed extensions each run as separate ablations, some will show apparent improvement by chance. Pre-registering the primary comparison (LyASC vs. rSkip+LN vs. wSkip+LN, Section 7) before running any extension ablations, and reporting extension results as exploratory, mitigates this honestly rather than post-hoc.</w:t>
      </w:r>
    </w:p>
    <w:p>
      <w:pPr>
        <w:pStyle w:val="ListParagraph"/>
        <w:numPr>
          <w:ilvl w:val="0"/>
          <w:numId w:val="2"/>
        </w:numPr>
        <w:spacing w:after="80" w:line="264"/>
      </w:pPr>
      <w:r>
        <w:t xml:space="preserve">Novelty-vs-scope tradeoff: not every extension in Section 4 needs to make the Phase 1 paper — several are explicitly marked Phase 2 (Sections 4.5-4.8) precisely to keep the core submission focused and falsifiable rather than diluted across too many simultaneous claims.</w:t>
      </w:r>
    </w:p>
    <w:p>
      <w:pPr>
        <w:pStyle w:val="Heading1"/>
        <w:spacing w:after="160" w:before="360"/>
      </w:pPr>
      <w:r>
        <w:t xml:space="preserve">9. Journal Positioning</w:t>
      </w:r>
    </w:p>
    <w:p>
      <w:pPr>
        <w:spacing w:after="160" w:line="276"/>
      </w:pPr>
      <w:r>
        <w:t xml:space="preserve">The strongest framing for this work is not "LyASC beats every baseline" (an outcome not yet measured and not to be assumed) but "the design and evaluation of a stability-signal-driven alternative to both fixed-schedule and freely-learned residual gating, benchmarked against an independently re-verified, corrected reproduction of the most directly comparable prior baselines." The fact that the comparison baselines (rSkip+LN, wSkip+LN) are freshly and rigorously re-verified — rather than taken on faith from the original paper — is itself a methodological strength worth stating explicitly in the paper's contribution list, since it pre-empts an obvious reviewer question about whether an observed gain is really about LyASC or just about a stronger reimplementation.</w:t>
      </w:r>
    </w:p>
    <w:p>
      <w:pPr>
        <w:spacing w:after="160" w:line="276"/>
      </w:pPr>
      <w:r>
        <w:t xml:space="preserve">Suggested contribution list for the eventual paper: (1) LyASC, a stability-signal-driven skip-connection gate, the first to our knowledge to ground gate strength in an online dynamical-systems instability estimate rather than a fixed schedule or free parameter; (2) a rigorously re-verified reproduction of the closest prior fixed- and learned-gate baselines, used as the direct comparison target; (3) a set of novel architectural and training-time extensions (Section 4) probing multi-scale, proactive-regularization, and conditional-computation variants of the core idea; (4) an interpretability contribution (stability maps) and an empirically validated theoretical bound, both enabled directly by the same infrastructure built for the gate itself.</w:t>
      </w:r>
    </w:p>
    <w:p>
      <w:r>
        <w:br w:type="page"/>
      </w:r>
    </w:p>
    <w:p>
      <w:pPr>
        <w:pStyle w:val="Heading1"/>
        <w:spacing w:after="160" w:before="360"/>
      </w:pPr>
      <w:r>
        <w:t xml:space="preserve">Appendix A. Glossary (Plain-Language)</w:t>
      </w:r>
    </w:p>
    <w:p>
      <w:pPr>
        <w:pStyle w:val="ListParagraph"/>
        <w:numPr>
          <w:ilvl w:val="0"/>
          <w:numId w:val="2"/>
        </w:numPr>
        <w:spacing w:after="80" w:line="264"/>
      </w:pPr>
      <w:r>
        <w:t xml:space="preserve">Skip connection / shortcut — a path that lets a layer's input bypass that layer's transformation and be added back in, used throughout modern deep networks to make very deep training possible.</w:t>
      </w:r>
    </w:p>
    <w:p>
      <w:pPr>
        <w:pStyle w:val="ListParagraph"/>
        <w:numPr>
          <w:ilvl w:val="0"/>
          <w:numId w:val="2"/>
        </w:numPr>
        <w:spacing w:after="80" w:line="264"/>
      </w:pPr>
      <w:r>
        <w:t xml:space="preserve">Lyapunov exponent — a measure, borrowed from dynamical-systems theory, of whether small perturbations to a system grow (unstable) or shrink (stable) over time / depth.</w:t>
      </w:r>
    </w:p>
    <w:p>
      <w:pPr>
        <w:pStyle w:val="ListParagraph"/>
        <w:numPr>
          <w:ilvl w:val="0"/>
          <w:numId w:val="2"/>
        </w:numPr>
        <w:spacing w:after="80" w:line="264"/>
      </w:pPr>
      <w:r>
        <w:t xml:space="preserve">Power iteration — a cheap, iterative numerical method for estimating the dominant behavior of a transformation (here, whether it expands or contracts) without ever forming the full, expensive Jacobian matrix.</w:t>
      </w:r>
    </w:p>
    <w:p>
      <w:pPr>
        <w:pStyle w:val="ListParagraph"/>
        <w:numPr>
          <w:ilvl w:val="0"/>
          <w:numId w:val="2"/>
        </w:numPr>
        <w:spacing w:after="80" w:line="264"/>
      </w:pPr>
      <w:r>
        <w:t xml:space="preserve">Jacobian-vector product (JVP) — the result of applying a function's local linear approximation to a single direction vector, computable directly and cheaply via automatic differentiation, without building the full Jacobian.</w:t>
      </w:r>
    </w:p>
    <w:p>
      <w:pPr>
        <w:pStyle w:val="ListParagraph"/>
        <w:numPr>
          <w:ilvl w:val="0"/>
          <w:numId w:val="2"/>
        </w:numPr>
        <w:spacing w:after="80" w:line="264"/>
      </w:pPr>
      <w:r>
        <w:t xml:space="preserve">Gate — the mechanism (here, α_l) that decides how much of the shortcut path versus the transformed path contributes to a block's output.</w:t>
      </w:r>
    </w:p>
    <w:p>
      <w:pPr>
        <w:pStyle w:val="ListParagraph"/>
        <w:numPr>
          <w:ilvl w:val="0"/>
          <w:numId w:val="2"/>
        </w:numPr>
        <w:spacing w:after="80" w:line="264"/>
      </w:pPr>
      <w:r>
        <w:t xml:space="preserve">Cold start — the early phase of training (roughly the first ~1000-2000 iterations in this project's verified measurements) where gradients and activation statistics are least settled and most prone to instability.</w:t>
      </w:r>
    </w:p>
    <w:p>
      <w:pPr>
        <w:pStyle w:val="ListParagraph"/>
        <w:numPr>
          <w:ilvl w:val="0"/>
          <w:numId w:val="2"/>
        </w:numPr>
        <w:spacing w:after="80" w:line="264"/>
      </w:pPr>
      <w:r>
        <w:t xml:space="preserve">EMA (exponential moving average) — a smoothing technique that blends a new measurement with the running average of past measurements, reducing noise from any single measurement.</w:t>
      </w:r>
    </w:p>
    <w:p>
      <w:pPr>
        <w:pStyle w:val="Heading1"/>
        <w:spacing w:after="160" w:before="360"/>
      </w:pPr>
      <w:r>
        <w:t xml:space="preserve">Appendix B. Document-to-Codebase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8300"/>
      </w:tblGrid>
      <w:tr>
        <w:trPr>
          <w:tblHeader/>
        </w:trPr>
        <w:tc>
          <w:tcPr>
            <w:tcW w:type="dxa" w:w="3400"/>
            <w:shd w:fill="2F5496" w:color="auto" w:val="clear"/>
            <w:tcMar>
              <w:top w:type="dxa" w:w="80"/>
              <w:left w:type="dxa" w:w="100"/>
              <w:bottom w:type="dxa" w:w="80"/>
              <w:right w:type="dxa" w:w="100"/>
            </w:tcMar>
          </w:tcPr>
          <w:p>
            <w:r>
              <w:rPr>
                <w:b/>
                <w:bCs/>
                <w:color w:val="FFFFFF"/>
                <w:sz w:val="20"/>
                <w:szCs w:val="20"/>
              </w:rPr>
              <w:t xml:space="preserve">Section</w:t>
            </w:r>
          </w:p>
        </w:tc>
        <w:tc>
          <w:tcPr>
            <w:tcW w:type="dxa" w:w="8300"/>
            <w:shd w:fill="2F5496" w:color="auto" w:val="clear"/>
            <w:tcMar>
              <w:top w:type="dxa" w:w="80"/>
              <w:left w:type="dxa" w:w="100"/>
              <w:bottom w:type="dxa" w:w="80"/>
              <w:right w:type="dxa" w:w="100"/>
            </w:tcMar>
          </w:tcPr>
          <w:p>
            <w:r>
              <w:rPr>
                <w:b/>
                <w:bCs/>
                <w:color w:val="FFFFFF"/>
                <w:sz w:val="20"/>
                <w:szCs w:val="20"/>
              </w:rPr>
              <w:t xml:space="preserve">Corresponding file(s)</w:t>
            </w:r>
          </w:p>
        </w:tc>
      </w:tr>
      <w:tr>
        <w:tc>
          <w:tcPr>
            <w:tcW w:type="dxa" w:w="3400"/>
            <w:tcMar>
              <w:top w:type="dxa" w:w="80"/>
              <w:left w:type="dxa" w:w="100"/>
              <w:bottom w:type="dxa" w:w="80"/>
              <w:right w:type="dxa" w:w="100"/>
            </w:tcMar>
          </w:tcPr>
          <w:p>
            <w:r>
              <w:rPr>
                <w:b w:val="false"/>
                <w:bCs w:val="false"/>
                <w:sz w:val="20"/>
                <w:szCs w:val="20"/>
              </w:rPr>
              <w:t xml:space="preserve">3. Core architecture</w:t>
            </w:r>
          </w:p>
        </w:tc>
        <w:tc>
          <w:tcPr>
            <w:tcW w:type="dxa" w:w="8300"/>
            <w:tcMar>
              <w:top w:type="dxa" w:w="80"/>
              <w:left w:type="dxa" w:w="100"/>
              <w:bottom w:type="dxa" w:w="80"/>
              <w:right w:type="dxa" w:w="100"/>
            </w:tcMar>
          </w:tcPr>
          <w:p>
            <w:r>
              <w:rPr>
                <w:b w:val="false"/>
                <w:bCs w:val="false"/>
                <w:sz w:val="20"/>
                <w:szCs w:val="20"/>
              </w:rPr>
              <w:t xml:space="preserve">lyasc_model/src/models/lyasc_skip.py, stability_estimator.py (implemented, unit-tested)</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4. Novel extensions</w:t>
            </w:r>
          </w:p>
        </w:tc>
        <w:tc>
          <w:tcPr>
            <w:tcW w:type="dxa" w:w="8300"/>
            <w:shd w:fill="F2F2F2" w:color="auto" w:val="clear"/>
            <w:tcMar>
              <w:top w:type="dxa" w:w="80"/>
              <w:left w:type="dxa" w:w="100"/>
              <w:bottom w:type="dxa" w:w="80"/>
              <w:right w:type="dxa" w:w="100"/>
            </w:tcMar>
          </w:tcPr>
          <w:p>
            <w:r>
              <w:rPr>
                <w:b w:val="false"/>
                <w:bCs w:val="false"/>
                <w:sz w:val="20"/>
                <w:szCs w:val="20"/>
              </w:rPr>
              <w:t xml:space="preserve">lyasc_model/src/models/stability_regularizer.py, conditional_compute.py (proposed, not yet implemented)</w:t>
            </w:r>
          </w:p>
        </w:tc>
      </w:tr>
      <w:tr>
        <w:tc>
          <w:tcPr>
            <w:tcW w:type="dxa" w:w="3400"/>
            <w:tcMar>
              <w:top w:type="dxa" w:w="80"/>
              <w:left w:type="dxa" w:w="100"/>
              <w:bottom w:type="dxa" w:w="80"/>
              <w:right w:type="dxa" w:w="100"/>
            </w:tcMar>
          </w:tcPr>
          <w:p>
            <w:r>
              <w:rPr>
                <w:b w:val="false"/>
                <w:bCs w:val="false"/>
                <w:sz w:val="20"/>
                <w:szCs w:val="20"/>
              </w:rPr>
              <w:t xml:space="preserve">5. Implementation plan</w:t>
            </w:r>
          </w:p>
        </w:tc>
        <w:tc>
          <w:tcPr>
            <w:tcW w:type="dxa" w:w="8300"/>
            <w:tcMar>
              <w:top w:type="dxa" w:w="80"/>
              <w:left w:type="dxa" w:w="100"/>
              <w:bottom w:type="dxa" w:w="80"/>
              <w:right w:type="dxa" w:w="100"/>
            </w:tcMar>
          </w:tcPr>
          <w:p>
            <w:r>
              <w:rPr>
                <w:b w:val="false"/>
                <w:bCs w:val="false"/>
                <w:sz w:val="20"/>
                <w:szCs w:val="20"/>
              </w:rPr>
              <w:t xml:space="preserve">lyasc_model/plan.md (existing), this document Section 5 (extended build order)</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6. MLflow tracking</w:t>
            </w:r>
          </w:p>
        </w:tc>
        <w:tc>
          <w:tcPr>
            <w:tcW w:type="dxa" w:w="8300"/>
            <w:shd w:fill="F2F2F2" w:color="auto" w:val="clear"/>
            <w:tcMar>
              <w:top w:type="dxa" w:w="80"/>
              <w:left w:type="dxa" w:w="100"/>
              <w:bottom w:type="dxa" w:w="80"/>
              <w:right w:type="dxa" w:w="100"/>
            </w:tcMar>
          </w:tcPr>
          <w:p>
            <w:r>
              <w:rPr>
                <w:b w:val="false"/>
                <w:bCs w:val="false"/>
                <w:sz w:val="20"/>
                <w:szCs w:val="20"/>
              </w:rPr>
              <w:t xml:space="preserve">lyasc_model/src/tracking/mlflow_tracking.py (provided alongside this document)</w:t>
            </w:r>
          </w:p>
        </w:tc>
      </w:tr>
      <w:tr>
        <w:tc>
          <w:tcPr>
            <w:tcW w:type="dxa" w:w="3400"/>
            <w:tcMar>
              <w:top w:type="dxa" w:w="80"/>
              <w:left w:type="dxa" w:w="100"/>
              <w:bottom w:type="dxa" w:w="80"/>
              <w:right w:type="dxa" w:w="100"/>
            </w:tcMar>
          </w:tcPr>
          <w:p>
            <w:r>
              <w:rPr>
                <w:b w:val="false"/>
                <w:bCs w:val="false"/>
                <w:sz w:val="20"/>
                <w:szCs w:val="20"/>
              </w:rPr>
              <w:t xml:space="preserve">Verified baselines throughout</w:t>
            </w:r>
          </w:p>
        </w:tc>
        <w:tc>
          <w:tcPr>
            <w:tcW w:type="dxa" w:w="8300"/>
            <w:tcMar>
              <w:top w:type="dxa" w:w="80"/>
              <w:left w:type="dxa" w:w="100"/>
              <w:bottom w:type="dxa" w:w="80"/>
              <w:right w:type="dxa" w:w="100"/>
            </w:tcMar>
          </w:tcPr>
          <w:p>
            <w:r>
              <w:rPr>
                <w:b w:val="false"/>
                <w:bCs w:val="false"/>
                <w:sz w:val="20"/>
                <w:szCs w:val="20"/>
              </w:rPr>
              <w:t xml:space="preserve">base_model/results/tables/reproduced_table{1,3,4,6}_FINAL.csv, FINAL_REPORT.md, decisions.log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2026-08-27T08:59:52.299Z</dcterms:created>
  <dcterms:modified xsi:type="dcterms:W3CDTF">2026-08-27T08:59:52.328Z</dcterms:modified>
</cp:coreProperties>
</file>

<file path=docProps/custom.xml><?xml version="1.0" encoding="utf-8"?>
<Properties xmlns="http://schemas.openxmlformats.org/officeDocument/2006/custom-properties" xmlns:vt="http://schemas.openxmlformats.org/officeDocument/2006/docPropsVTypes"/>
</file>