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32"/>
          <w:szCs w:val="32"/>
          <w:highlight w:val="white"/>
        </w:rPr>
      </w:pPr>
      <w:r w:rsidDel="00000000" w:rsidR="00000000" w:rsidRPr="00000000">
        <w:rPr>
          <w:rFonts w:ascii="Cambria" w:cs="Cambria" w:eastAsia="Cambria" w:hAnsi="Cambria"/>
          <w:b w:val="1"/>
          <w:bCs w:val="1"/>
          <w:sz w:val="32"/>
          <w:szCs w:val="32"/>
          <w:highlight w:val="white"/>
        </w:rPr>
        <w:drawing>
          <wp:anchor allowOverlap="1" behindDoc="0" distB="114300" distT="114300" distL="114300" distR="114300" hidden="0" layoutInCell="1" locked="0" relativeHeight="0" simplePos="0">
            <wp:simplePos x="0" y="0"/>
            <wp:positionH relativeFrom="page">
              <wp:posOffset>190500</wp:posOffset>
            </wp:positionH>
            <wp:positionV relativeFrom="page">
              <wp:posOffset>152400</wp:posOffset>
            </wp:positionV>
            <wp:extent cx="1376363" cy="589870"/>
            <wp:effectExtent b="0" l="0" r="0" t="0"/>
            <wp:wrapNone/>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highlight w:val="white"/>
          <w:rtl w:val="0"/>
        </w:rPr>
        <w:t xml:space="preserve">                                      Dashboard Design</w:t>
      </w:r>
      <w:r w:rsidDel="00000000" w:rsidR="00000000" w:rsidRPr="00000000">
        <w:rPr>
          <w:rtl w:val="0"/>
        </w:rPr>
      </w:r>
    </w:p>
    <w:p w:rsidR="00000000" w:rsidDel="00000000" w:rsidP="00000000" w:rsidRDefault="00000000" w:rsidRPr="00000000" w14:paraId="00000002">
      <w:pPr>
        <w:widowControl w:val="0"/>
        <w:spacing w:after="0" w:before="39" w:line="240" w:lineRule="auto"/>
        <w:ind w:left="2701" w:firstLine="0"/>
        <w:rPr>
          <w:b w:val="1"/>
          <w:bCs w:val="1"/>
          <w:sz w:val="28"/>
          <w:szCs w:val="28"/>
        </w:rPr>
      </w:pPr>
      <w:r w:rsidDel="00000000" w:rsidR="00000000" w:rsidRPr="00000000">
        <w:rPr>
          <w:rtl w:val="0"/>
        </w:rPr>
      </w:r>
    </w:p>
    <w:tbl>
      <w:tblPr>
        <w:tblStyle w:val="Table1"/>
        <w:tblW w:w="90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
        <w:gridCol w:w="4511"/>
        <w:tblGridChange w:id="0">
          <w:tblGrid>
            <w:gridCol w:w="4507"/>
            <w:gridCol w:w="4511"/>
          </w:tblGrid>
        </w:tblGridChange>
      </w:tblGrid>
      <w:tr>
        <w:trPr>
          <w:cantSplit w:val="0"/>
          <w:trHeight w:val="278" w:hRule="atLeast"/>
          <w:tblHeader w:val="0"/>
        </w:trPr>
        <w:tc>
          <w:tcPr>
            <w:shd w:fill="auto" w:val="clear"/>
            <w:tcMar>
              <w:top w:w="100.0" w:type="dxa"/>
              <w:left w:w="100.0" w:type="dxa"/>
              <w:bottom w:w="100.0" w:type="dxa"/>
              <w:right w:w="100.0" w:type="dxa"/>
            </w:tcMar>
          </w:tcPr>
          <w:p>
            <w:r>
              <w:t xml:space="preserve">Date </w:t>
            </w:r>
          </w:p>
        </w:tc>
        <w:tc>
          <w:tcPr>
            <w:shd w:fill="auto" w:val="clear"/>
            <w:tcMar>
              <w:top w:w="100.0" w:type="dxa"/>
              <w:left w:w="100.0" w:type="dxa"/>
              <w:bottom w:w="100.0" w:type="dxa"/>
              <w:right w:w="100.0" w:type="dxa"/>
            </w:tcMar>
          </w:tcPr>
          <w:p>
            <w:r>
              <w:t>28 October 2026</w:t>
            </w:r>
          </w:p>
        </w:tc>
      </w:tr>
      <w:tr>
        <w:trPr>
          <w:cantSplit w:val="0"/>
          <w:trHeight w:val="278" w:hRule="atLeast"/>
          <w:tblHeader w:val="0"/>
        </w:trPr>
        <w:tc>
          <w:tcPr>
            <w:shd w:fill="auto" w:val="clear"/>
            <w:tcMar>
              <w:top w:w="100.0" w:type="dxa"/>
              <w:left w:w="100.0" w:type="dxa"/>
              <w:bottom w:w="100.0" w:type="dxa"/>
              <w:right w:w="100.0" w:type="dxa"/>
            </w:tcMar>
          </w:tcPr>
          <w:p>
            <w:r>
              <w:t xml:space="preserve">Team ID </w:t>
            </w:r>
          </w:p>
        </w:tc>
        <w:tc>
          <w:tcPr>
            <w:shd w:fill="auto" w:val="clear"/>
            <w:tcMar>
              <w:top w:w="100.0" w:type="dxa"/>
              <w:left w:w="100.0" w:type="dxa"/>
              <w:bottom w:w="100.0" w:type="dxa"/>
              <w:right w:w="100.0" w:type="dxa"/>
            </w:tcMar>
          </w:tcPr>
          <w:p>
            <w:r>
              <w:t>Not provided</w:t>
            </w:r>
          </w:p>
        </w:tc>
      </w:tr>
      <w:tr>
        <w:trPr>
          <w:cantSplit w:val="0"/>
          <w:trHeight w:val="278" w:hRule="atLeast"/>
          <w:tblHeader w:val="0"/>
        </w:trPr>
        <w:tc>
          <w:tcPr>
            <w:shd w:fill="auto" w:val="clear"/>
            <w:tcMar>
              <w:top w:w="100.0" w:type="dxa"/>
              <w:left w:w="100.0" w:type="dxa"/>
              <w:bottom w:w="100.0" w:type="dxa"/>
              <w:right w:w="100.0" w:type="dxa"/>
            </w:tcMar>
          </w:tcPr>
          <w:p>
            <w:r>
              <w:t xml:space="preserve">Project Name </w:t>
            </w:r>
          </w:p>
        </w:tc>
        <w:tc>
          <w:tcPr>
            <w:shd w:fill="auto" w:val="clear"/>
            <w:tcMar>
              <w:top w:w="100.0" w:type="dxa"/>
              <w:left w:w="100.0" w:type="dxa"/>
              <w:bottom w:w="100.0" w:type="dxa"/>
              <w:right w:w="100.0" w:type="dxa"/>
            </w:tcMar>
          </w:tcPr>
          <w:p>
            <w:r>
              <w:t>EV Market Analysis Dashboard using Tableau</w:t>
            </w:r>
          </w:p>
        </w:tc>
      </w:tr>
      <w:tr>
        <w:trPr>
          <w:cantSplit w:val="0"/>
          <w:trHeight w:val="278" w:hRule="atLeast"/>
          <w:tblHeader w:val="0"/>
        </w:trPr>
        <w:tc>
          <w:tcPr>
            <w:shd w:fill="auto" w:val="clear"/>
            <w:tcMar>
              <w:top w:w="100.0" w:type="dxa"/>
              <w:left w:w="100.0" w:type="dxa"/>
              <w:bottom w:w="100.0" w:type="dxa"/>
              <w:right w:w="100.0" w:type="dxa"/>
            </w:tcMar>
          </w:tcPr>
          <w:p>
            <w:r>
              <w:t xml:space="preserve">Maximum Marks </w:t>
            </w:r>
          </w:p>
        </w:tc>
        <w:tc>
          <w:tcPr>
            <w:shd w:fill="auto" w:val="clear"/>
            <w:tcMar>
              <w:top w:w="100.0" w:type="dxa"/>
              <w:left w:w="100.0" w:type="dxa"/>
              <w:bottom w:w="100.0" w:type="dxa"/>
              <w:right w:w="100.0" w:type="dxa"/>
            </w:tcMar>
          </w:tcPr>
          <w:p>
            <w:r>
              <w:t>5  Marks</w:t>
            </w:r>
          </w:p>
        </w:tc>
      </w:tr>
    </w:tbl>
    <w:p w:rsidR="00000000" w:rsidDel="00000000" w:rsidP="00000000" w:rsidRDefault="00000000" w:rsidRPr="00000000" w14:paraId="0000000B">
      <w:pPr>
        <w:widowControl w:val="0"/>
        <w:spacing w:after="0" w:line="276" w:lineRule="auto"/>
        <w:rPr>
          <w:rFonts w:ascii="Cambria" w:cs="Cambria" w:eastAsia="Cambria" w:hAnsi="Cambria"/>
          <w:b w:val="1"/>
          <w:bCs w:val="1"/>
          <w:sz w:val="32"/>
          <w:szCs w:val="32"/>
          <w:highlight w:val="white"/>
        </w:rPr>
      </w:pPr>
      <w:r w:rsidDel="00000000" w:rsidR="00000000" w:rsidRPr="00000000">
        <w:rPr>
          <w:rtl w:val="0"/>
        </w:rPr>
      </w:r>
    </w:p>
    <w:p w:rsidR="00000000" w:rsidDel="00000000" w:rsidP="00000000" w:rsidRDefault="00000000" w:rsidRPr="00000000" w14:paraId="0000000C">
      <w:pPr>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Activity 1: Interactive and visually appealing dashboards </w:t>
      </w:r>
    </w:p>
    <w:p w:rsidR="00000000" w:rsidDel="00000000" w:rsidP="00000000" w:rsidRDefault="00000000" w:rsidRPr="00000000" w14:paraId="0000000D">
      <w:pPr>
        <w:rPr>
          <w:rFonts w:ascii="Cambria" w:cs="Cambria" w:eastAsia="Cambria" w:hAnsi="Cambria"/>
          <w:color w:val="000000"/>
          <w:sz w:val="24"/>
          <w:szCs w:val="24"/>
          <w:highlight w:val="white"/>
        </w:rPr>
      </w:pPr>
      <w:r w:rsidDel="00000000" w:rsidR="00000000" w:rsidRPr="00000000">
        <w:rPr>
          <w:rFonts w:ascii="Cambria" w:cs="Cambria" w:eastAsia="Cambria" w:hAnsi="Cambria"/>
          <w:sz w:val="24"/>
          <w:szCs w:val="24"/>
          <w:rtl w:val="0"/>
        </w:rPr>
        <w:t xml:space="preserve">Creating an effective Streamlit dashboard involves presenting business data stored in Snowflake through clear, interactive, and easy-to-understand visualizations. Students should design the dashboard so that users can quickly understand important KPIs, trends, comparisons, and business insights. </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Clear and Intuitive Layout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Use Appropriate Visualizations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Colour and Theming</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Interactive Filters and Slicers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Drill-Down Capabilities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Responsive Design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Custom Visuals and Icons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Use of Infographics</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17">
      <w:pPr>
        <w:spacing w:after="240" w:before="240" w:line="276" w:lineRule="auto"/>
        <w:rPr>
          <w:sz w:val="24"/>
          <w:szCs w:val="24"/>
        </w:rPr>
      </w:pPr>
      <w:r w:rsidDel="00000000" w:rsidR="00000000" w:rsidRPr="00000000">
        <w:rPr>
          <w:sz w:val="24"/>
          <w:szCs w:val="24"/>
        </w:rPr>
        <w:drawing>
          <wp:inline distB="114300" distT="114300" distL="114300" distR="114300">
            <wp:extent cx="5167313" cy="2371725"/>
            <wp:effectExtent b="0" l="0" r="0" t="0"/>
            <wp:docPr id="8" name="image4.png"/>
            <a:graphic>
              <a:graphicData uri="http://schemas.openxmlformats.org/drawingml/2006/picture">
                <pic:pic>
                  <pic:nvPicPr>
                    <pic:cNvPr id="0" name="image4.png"/>
                    <pic:cNvPicPr preferRelativeResize="0"/>
                  </pic:nvPicPr>
                  <pic:blipFill>
                    <a:blip r:embed="rId8"/>
                    <a:srcRect b="4843" l="0" r="0" t="9402"/>
                    <a:stretch>
                      <a:fillRect/>
                    </a:stretch>
                  </pic:blipFill>
                  <pic:spPr>
                    <a:xfrm>
                      <a:off x="0" y="0"/>
                      <a:ext cx="5167313"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276" w:lineRule="auto"/>
        <w:rPr>
          <w:sz w:val="24"/>
          <w:szCs w:val="24"/>
        </w:rPr>
      </w:pPr>
      <w:r w:rsidDel="00000000" w:rsidR="00000000" w:rsidRPr="00000000">
        <w:rPr>
          <w:sz w:val="24"/>
          <w:szCs w:val="24"/>
        </w:rPr>
        <w:drawing>
          <wp:inline distB="114300" distT="114300" distL="114300" distR="114300">
            <wp:extent cx="5200650" cy="2443832"/>
            <wp:effectExtent b="0" l="0" r="0" t="0"/>
            <wp:docPr id="7" name="image3.png"/>
            <a:graphic>
              <a:graphicData uri="http://schemas.openxmlformats.org/drawingml/2006/picture">
                <pic:pic>
                  <pic:nvPicPr>
                    <pic:cNvPr id="0" name="image3.png"/>
                    <pic:cNvPicPr preferRelativeResize="0"/>
                  </pic:nvPicPr>
                  <pic:blipFill>
                    <a:blip r:embed="rId9"/>
                    <a:srcRect b="5392" l="0" r="0" t="8852"/>
                    <a:stretch>
                      <a:fillRect/>
                    </a:stretch>
                  </pic:blipFill>
                  <pic:spPr>
                    <a:xfrm>
                      <a:off x="0" y="0"/>
                      <a:ext cx="5200650" cy="244383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0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Note:</w:t>
      </w:r>
      <w:r w:rsidDel="00000000" w:rsidR="00000000" w:rsidRPr="00000000">
        <w:rPr>
          <w:rFonts w:ascii="Arial" w:cs="Arial" w:eastAsia="Arial" w:hAnsi="Arial"/>
          <w:sz w:val="20"/>
          <w:szCs w:val="20"/>
          <w:rtl w:val="0"/>
        </w:rPr>
        <w:t xml:space="preserve"> Highlight the major outcomes in form of bullet points </w:t>
      </w:r>
    </w:p>
    <w:p w:rsidR="00000000" w:rsidDel="00000000" w:rsidP="00000000" w:rsidRDefault="00000000" w:rsidRPr="00000000" w14:paraId="0000001A">
      <w:pPr>
        <w:spacing w:after="200" w:line="240" w:lineRule="auto"/>
        <w:rPr/>
      </w:pPr>
      <w:r w:rsidDel="00000000" w:rsidR="00000000" w:rsidRPr="00000000">
        <w:rPr>
          <w:rtl w:val="0"/>
        </w:rPr>
        <w:t xml:space="preserve">Sample:</w:t>
      </w:r>
    </w:p>
    <w:p w:rsidR="00000000" w:rsidDel="00000000" w:rsidP="00000000" w:rsidRDefault="00000000" w:rsidRPr="00000000" w14:paraId="0000001B">
      <w:pPr>
        <w:spacing w:after="200" w:line="240" w:lineRule="auto"/>
        <w:rPr/>
      </w:pPr>
      <w:r w:rsidDel="00000000" w:rsidR="00000000" w:rsidRPr="00000000">
        <w:rPr>
          <w:rtl w:val="0"/>
        </w:rPr>
        <w:t xml:space="preserve">Here are five potential outcomes from the dashboard image provided:</w:t>
      </w:r>
    </w:p>
    <w:p w:rsidR="00000000" w:rsidDel="00000000" w:rsidP="00000000" w:rsidRDefault="00000000" w:rsidRPr="00000000" w14:paraId="0000001C">
      <w:pPr>
        <w:numPr>
          <w:ilvl w:val="0"/>
          <w:numId w:val="2"/>
        </w:numPr>
        <w:spacing w:after="0" w:afterAutospacing="0" w:before="240" w:line="240" w:lineRule="auto"/>
        <w:ind w:left="720" w:hanging="360"/>
        <w:rPr/>
      </w:pPr>
      <w:r w:rsidDel="00000000" w:rsidR="00000000" w:rsidRPr="00000000">
        <w:rPr>
          <w:rtl w:val="0"/>
        </w:rPr>
        <w:t xml:space="preserve">Mumbai Indians emerge as the strongest team by wins</w:t>
        <w:br w:type="textWrapping"/>
        <w:t xml:space="preserve"> Mumbai Indians are shown at the top of the Top Teams by Wins chart, indicating consistently strong performance across IPL seasons.</w:t>
      </w:r>
    </w:p>
    <w:p w:rsidR="00000000" w:rsidDel="00000000" w:rsidP="00000000" w:rsidRDefault="00000000" w:rsidRPr="00000000" w14:paraId="0000001D">
      <w:pPr>
        <w:numPr>
          <w:ilvl w:val="0"/>
          <w:numId w:val="2"/>
        </w:numPr>
        <w:spacing w:after="0" w:afterAutospacing="0" w:before="0" w:beforeAutospacing="0" w:line="240" w:lineRule="auto"/>
        <w:ind w:left="720" w:hanging="360"/>
        <w:rPr/>
      </w:pPr>
      <w:r w:rsidDel="00000000" w:rsidR="00000000" w:rsidRPr="00000000">
        <w:rPr>
          <w:rtl w:val="0"/>
        </w:rPr>
        <w:t xml:space="preserve">Batting performance is dominated by a few key players</w:t>
        <w:br w:type="textWrapping"/>
        <w:t xml:space="preserve"> V. Kohli leads the Top Run Scorers chart, followed by players such as S. Dhawan, RG Sharma, and DA Warner. This highlights the importance of high-performing batsmen.</w:t>
      </w:r>
    </w:p>
    <w:p w:rsidR="00000000" w:rsidDel="00000000" w:rsidP="00000000" w:rsidRDefault="00000000" w:rsidRPr="00000000" w14:paraId="0000001E">
      <w:pPr>
        <w:numPr>
          <w:ilvl w:val="0"/>
          <w:numId w:val="2"/>
        </w:numPr>
        <w:spacing w:after="0" w:afterAutospacing="0" w:before="0" w:beforeAutospacing="0" w:line="240" w:lineRule="auto"/>
        <w:ind w:left="720" w:hanging="360"/>
        <w:rPr/>
      </w:pPr>
      <w:r w:rsidDel="00000000" w:rsidR="00000000" w:rsidRPr="00000000">
        <w:rPr>
          <w:rtl w:val="0"/>
        </w:rPr>
        <w:t xml:space="preserve">Wicket-taking performance is concentrated among leading bowlers</w:t>
        <w:br w:type="textWrapping"/>
        <w:t xml:space="preserve"> YS Chahal ranks highest in the Top Wicket Takers chart, followed by PP Chawla and DJ Bravo, indicating that a relatively small group of bowlers has contributed significantly to wicket-taking.</w:t>
      </w:r>
    </w:p>
    <w:p w:rsidR="00000000" w:rsidDel="00000000" w:rsidP="00000000" w:rsidRDefault="00000000" w:rsidRPr="00000000" w14:paraId="0000001F">
      <w:pPr>
        <w:numPr>
          <w:ilvl w:val="0"/>
          <w:numId w:val="2"/>
        </w:numPr>
        <w:spacing w:after="0" w:afterAutospacing="0" w:before="0" w:beforeAutospacing="0" w:line="240" w:lineRule="auto"/>
        <w:ind w:left="720" w:hanging="360"/>
        <w:rPr/>
      </w:pPr>
      <w:r w:rsidDel="00000000" w:rsidR="00000000" w:rsidRPr="00000000">
        <w:rPr>
          <w:rtl w:val="0"/>
        </w:rPr>
        <w:t xml:space="preserve">Fielding/toss decisions appear to have an impact on match outcomes</w:t>
        <w:br w:type="textWrapping"/>
        <w:t xml:space="preserve"> The Toss Impact and Toss Decision charts show differences between winning after winning the toss and choosing to bat vs. field. This can be used to investigate whether the toss provides a meaningful advantage.</w:t>
      </w:r>
    </w:p>
    <w:p w:rsidR="00000000" w:rsidDel="00000000" w:rsidP="00000000" w:rsidRDefault="00000000" w:rsidRPr="00000000" w14:paraId="00000020">
      <w:pPr>
        <w:numPr>
          <w:ilvl w:val="0"/>
          <w:numId w:val="2"/>
        </w:numPr>
        <w:spacing w:after="240" w:before="0" w:beforeAutospacing="0" w:line="240" w:lineRule="auto"/>
        <w:ind w:left="720" w:hanging="360"/>
        <w:rPr/>
      </w:pPr>
      <w:r w:rsidDel="00000000" w:rsidR="00000000" w:rsidRPr="00000000">
        <w:rPr>
          <w:rtl w:val="0"/>
        </w:rPr>
        <w:t xml:space="preserve">IPL match activity and scoring have grown over the seasons</w:t>
        <w:br w:type="textWrapping"/>
        <w:t xml:space="preserve"> The Matches by Season and Runs by Season charts show variation and an overall increase in IPL activity and run production across seasons, with particularly high run totals in later seasons.</w:t>
      </w:r>
    </w:p>
    <w:p w:rsidR="00000000" w:rsidDel="00000000" w:rsidP="00000000" w:rsidRDefault="00000000" w:rsidRPr="00000000" w14:paraId="00000021">
      <w:pPr>
        <w:spacing w:after="240" w:before="240" w:line="240" w:lineRule="auto"/>
        <w:rPr/>
      </w:pPr>
      <w:r w:rsidDel="00000000" w:rsidR="00000000" w:rsidRPr="00000000">
        <w:rPr>
          <w:rtl w:val="0"/>
        </w:rPr>
        <w:t xml:space="preserve">Overall outcome: The dashboard suggests that IPL success is influenced by a combination of strong teams, elite batting and bowling performers, match/toss decisions, and changing scoring patterns across seasons.</w:t>
      </w:r>
    </w:p>
    <w:p w:rsidR="00000000" w:rsidDel="00000000" w:rsidP="00000000" w:rsidRDefault="00000000" w:rsidRPr="00000000" w14:paraId="00000022">
      <w:pPr>
        <w:spacing w:after="200" w:line="240" w:lineRule="auto"/>
        <w:rPr/>
      </w:pPr>
      <w:r w:rsidDel="00000000" w:rsidR="00000000" w:rsidRPr="00000000">
        <w:rPr>
          <w:rtl w:val="0"/>
        </w:rPr>
        <w:br w:type="textWrapping"/>
        <w:br w:type="textWrapping"/>
      </w:r>
    </w:p>
    <w:p w:rsidR="00000000" w:rsidDel="00000000" w:rsidP="00000000" w:rsidRDefault="00000000" w:rsidRPr="00000000" w14:paraId="00000023">
      <w:pPr>
        <w:spacing w:after="240" w:before="0" w:line="240" w:lineRule="auto"/>
        <w:ind w:left="720" w:firstLine="0"/>
        <w:rPr>
          <w:u w:val="none"/>
        </w:rPr>
      </w:pPr>
      <w:r w:rsidDel="00000000" w:rsidR="00000000" w:rsidRPr="00000000">
        <w:rPr>
          <w:rtl w:val="0"/>
        </w:rPr>
      </w:r>
    </w:p>
    <w:p w:rsidR="00000000" w:rsidDel="00000000" w:rsidP="00000000" w:rsidRDefault="00000000" w:rsidRPr="00000000" w14:paraId="00000024">
      <w:pPr>
        <w:spacing w:after="240" w:before="240" w:line="240" w:lineRule="auto"/>
        <w:rPr/>
      </w:pPr>
      <w:r w:rsidDel="00000000" w:rsidR="00000000" w:rsidRPr="00000000">
        <w:rPr>
          <w:rtl w:val="0"/>
        </w:rPr>
      </w:r>
    </w:p>
    <w:p w:rsidR="00000000" w:rsidDel="00000000" w:rsidP="00000000" w:rsidRDefault="00000000" w:rsidRPr="00000000" w14:paraId="00000025">
      <w:pPr>
        <w:spacing w:after="200" w:line="240" w:lineRule="auto"/>
        <w:rPr>
          <w:sz w:val="28"/>
          <w:szCs w:val="28"/>
        </w:rPr>
      </w:pPr>
      <w:r w:rsidDel="00000000" w:rsidR="00000000" w:rsidRPr="00000000">
        <w:rPr>
          <w:rtl w:val="0"/>
        </w:rPr>
      </w:r>
    </w:p>
    <w:p>
      <w:pPr>
        <w:pStyle w:val="Heading2"/>
      </w:pPr>
      <w:r>
        <w:t>Activity 1: Interactive and visually appealing dashboards</w:t>
      </w:r>
    </w:p>
    <w:p>
      <w:r>
        <w:t>Proposed dashboard layout: KPI cards for total EV models, average price, average range, average customer rating and total annual sales; charts for sales by manufacturer, range by model, price by category, charging time by category, and CO₂ savings. Add filters for manufacturer, model year, market region, category and battery type. Use consistent typography, readable labels, meaningful sorting and tooltips. Validate all figures against the source CSV.</w:t>
      </w:r>
    </w:p>
    <w:p>
      <w:pPr>
        <w:pStyle w:val="Heading2"/>
      </w:pPr>
      <w:r>
        <w:t>Here are five potential outcomes from the dashboard image provided</w:t>
      </w:r>
    </w:p>
    <w:p>
      <w:r>
        <w:t>• Compare EV models on price, range, battery capacity and charging time.</w:t>
        <w:br/>
        <w:t>• Identify manufacturers with higher annual sales in the supplied dataset.</w:t>
        <w:br/>
        <w:t>• Explore differences between EV categories and market regions.</w:t>
        <w:br/>
        <w:t>• Compare customer ratings and safety ratings across vehicles.</w:t>
        <w:br/>
        <w:t>• Identify vehicles with higher estimated annual CO₂ savings.</w:t>
        <w:br/>
        <w:t>These are analysis objectives, not confirmed findings; replace with observations supported by your actual dashboard.</w:t>
      </w:r>
    </w:p>
    <w:sectPr>
      <w:headerReference r:id="rId1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6505575</wp:posOffset>
          </wp:positionH>
          <wp:positionV relativeFrom="page">
            <wp:posOffset>247650</wp:posOffset>
          </wp:positionV>
          <wp:extent cx="864691" cy="395288"/>
          <wp:effectExtent b="0" l="0" r="0" t="0"/>
          <wp:wrapNone/>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E317E"/>
    <w:rPr>
      <w:color w:val="0563c1" w:themeColor="hyperlink"/>
      <w:u w:val="single"/>
    </w:rPr>
  </w:style>
  <w:style w:type="paragraph" w:styleId="ListParagraph">
    <w:name w:val="List Paragraph"/>
    <w:basedOn w:val="Normal"/>
    <w:uiPriority w:val="1"/>
    <w:qFormat w:val="1"/>
    <w:rsid w:val="007E317E"/>
    <w:pPr>
      <w:ind w:left="720"/>
      <w:contextualSpacing w:val="1"/>
    </w:p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KkkWiKCA7kjhuQs9TCZqGXO2tQ==">CgMxLjA4AHIhMUwzUUx3QWZ5SElCbkhpbjE5NzN2OVlZRUdtaVRfMVhE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2024-01-13T08:54:00Z</dcterms:created>
  <dc:creator>SmarBridge ML</dc:creator>
</cp:coreProperties>
</file>