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</w:rPr>
        <w:t>thermodynamics analysis of a gas in a closed container with a movable piston and formula</w:t>
      </w:r>
    </w:p>
    <w:p>
      <w:pPr>
        <w:jc w:val="both"/>
      </w:pPr>
      <w:r>
        <w:rPr>
          <w:rFonts w:ascii="Times New Roman" w:hAnsi="Times New Roman"/>
        </w:rPr>
        <w:t>Thermodynamic Analysis of a Gas in a Closed System with a Movable Piston</w:t>
      </w:r>
    </w:p>
    <w:p>
      <w:pPr>
        <w:jc w:val="both"/>
      </w:pPr>
      <w:r>
        <w:rPr>
          <w:rFonts w:ascii="Times New Roman" w:hAnsi="Times New Roman"/>
        </w:rPr>
        <w:t>Abstract</w:t>
      </w:r>
    </w:p>
    <w:p>
      <w:pPr>
        <w:jc w:val="both"/>
      </w:pPr>
      <w:r>
        <w:rPr>
          <w:rFonts w:ascii="Times New Roman" w:hAnsi="Times New Roman"/>
        </w:rPr>
        <w:t>The closed system comprising a gas...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