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rPr>
        <w:t>THERMAL HEAT INTERACTION</w:t>
      </w:r>
    </w:p>
    <w:p>
      <w:pPr>
        <w:pStyle w:val="Heading1"/>
      </w:pPr>
      <w:r>
        <w:rPr>
          <w:rFonts w:ascii="Times New Roman" w:hAnsi="Times New Roman"/>
          <w:color w:val="000000"/>
        </w:rPr>
        <w:t>Thermal Heat Interaction: Principles, Mechanisms, and Applications</w:t>
      </w:r>
    </w:p>
    <w:p>
      <w:pPr>
        <w:jc w:val="both"/>
      </w:pPr>
      <w:r>
        <w:rPr>
          <w:rFonts w:ascii="Times New Roman" w:hAnsi="Times New Roman"/>
          <w:b/>
        </w:rPr>
        <w:t>Author:</w:t>
      </w:r>
      <w:r>
        <w:rPr>
          <w:rFonts w:ascii="Times New Roman" w:hAnsi="Times New Roman"/>
        </w:rPr>
        <w:t xml:space="preserve"> [Your Name/Institution]</w:t>
      </w:r>
    </w:p>
    <w:p>
      <w:pPr>
        <w:jc w:val="both"/>
      </w:pPr>
      <w:r>
        <w:rPr>
          <w:rFonts w:ascii="Times New Roman" w:hAnsi="Times New Roman"/>
          <w:b/>
        </w:rPr>
        <w:t>Date:</w:t>
      </w:r>
      <w:r>
        <w:rPr>
          <w:rFonts w:ascii="Times New Roman" w:hAnsi="Times New Roman"/>
        </w:rPr>
        <w:t xml:space="preserve"> January 23, 2026</w:t>
      </w:r>
    </w:p>
    <w:p>
      <w:pPr>
        <w:jc w:val="both"/>
      </w:pPr>
      <w:r>
        <w:rPr>
          <w:rFonts w:ascii="Times New Roman" w:hAnsi="Times New Roman"/>
          <w:b/>
        </w:rPr>
        <w:t>Document Version:</w:t>
      </w:r>
      <w:r>
        <w:rPr>
          <w:rFonts w:ascii="Times New Roman" w:hAnsi="Times New Roman"/>
        </w:rPr>
        <w:t xml:space="preserve"> 1.0</w:t>
      </w:r>
    </w:p>
    <w:p>
      <w:pPr>
        <w:pStyle w:val="Heading2"/>
      </w:pPr>
      <w:r>
        <w:rPr>
          <w:rFonts w:ascii="Times New Roman" w:hAnsi="Times New Roman"/>
          <w:color w:val="000000"/>
        </w:rPr>
        <w:t>Abstract</w:t>
      </w:r>
    </w:p>
    <w:p>
      <w:pPr>
        <w:jc w:val="both"/>
      </w:pPr>
      <w:r>
        <w:rPr>
          <w:rFonts w:ascii="Times New Roman" w:hAnsi="Times New Roman"/>
        </w:rPr>
        <w:t>Thermal heat interaction, governed by the fundamental laws of thermodynamics, represents the universal process of thermal energy exchange between systems due to a temperature gradient. This comprehensive report delineates the three canonical modes of heat transfer—conduction, convection, and radiation—examining their underlying physical mechanisms, governing mathematical laws, and critical material properties. The analysis extends to combined modes, transient phenomena, and advanced concepts such as phase change. By synthesizing theoretical principles with practical applications across engineering, environmental science, and technology, this report argues that mastery of thermal interactions is paramount for designing energy-efficient systems, advancing technological innovation, and understanding planetary-scale processes. The critical role of thermal management as a limiting factor in fields from microelectronics to aerospace underscores the enduring significance of this discipline.</w:t>
      </w:r>
    </w:p>
    <w:p>
      <w:pPr>
        <w:pStyle w:val="Heading2"/>
      </w:pPr>
      <w:r>
        <w:rPr>
          <w:rFonts w:ascii="Times New Roman" w:hAnsi="Times New Roman"/>
          <w:color w:val="000000"/>
        </w:rPr>
        <w:t>1.0 Introduction</w:t>
      </w:r>
    </w:p>
    <w:p>
      <w:pPr>
        <w:jc w:val="both"/>
      </w:pPr>
      <w:r>
        <w:rPr>
          <w:rFonts w:ascii="Times New Roman" w:hAnsi="Times New Roman"/>
        </w:rPr>
        <w:t>Thermal heat interaction is defined as the exchange of thermal energy (heat) between physical systems, occurring spontaneously due to a difference in temperature [citation:1]. This process is foundational to countless natural phenomena and engineered systems, driving everything from global weather patterns and stellar dynamics to the operation of internal combustion engines and the cooling of computer processors. The spontaneous direction of flow—from regions of higher temperature to regions of lower temperature—is a direct manifestation of the Second Law of Thermodynamics.</w:t>
      </w:r>
    </w:p>
    <w:p>
      <w:pPr>
        <w:jc w:val="both"/>
      </w:pPr>
      <w:r>
        <w:rPr>
          <w:rFonts w:ascii="Times New Roman" w:hAnsi="Times New Roman"/>
        </w:rPr>
        <w:t>The historical study of heat transfer has evolved from empirical observations, such as Isaac Newton's work on cooling in 1701 [citation:2][citation:7], to a rigorous analytical and computational discipline. Today, the field integrates principles from thermodynamics, fluid mechanics, and electromagnetism to model and control energy transfer with precision. This report aims to provide a thorough exposition of the principles governing thermal interactions, detail the mathematical frameworks used for their analysis, and explore their pivotal applications. The central thesis posits that effective management of heat transfer is not merely a technical challenge but a critical enabler for progress in energy sustainability, technological miniaturization, and climate science.</w:t>
      </w:r>
    </w:p>
    <w:p>
      <w:pPr>
        <w:pStyle w:val="Heading2"/>
      </w:pPr>
      <w:r>
        <w:rPr>
          <w:rFonts w:ascii="Times New Roman" w:hAnsi="Times New Roman"/>
          <w:color w:val="000000"/>
        </w:rPr>
        <w:t>2.0 Fundamental Principles and Laws</w:t>
      </w:r>
    </w:p>
    <w:p>
      <w:pPr>
        <w:jc w:val="both"/>
      </w:pPr>
      <w:r>
        <w:rPr>
          <w:rFonts w:ascii="Times New Roman" w:hAnsi="Times New Roman"/>
        </w:rPr>
        <w:t>The analysis of heat transfer is built upon the bedrock of thermodynamic laws, which define the nature of thermal energy and the constraints on its transfer.</w:t>
      </w:r>
    </w:p>
    <w:p>
      <w:pPr>
        <w:pStyle w:val="ListBullet"/>
        <w:jc w:val="both"/>
      </w:pPr>
      <w:r>
        <w:rPr>
          <w:rFonts w:ascii="Times New Roman" w:hAnsi="Times New Roman"/>
        </w:rPr>
        <w:t xml:space="preserve">  **The Zeroth Law of Thermodynamics** establishes the concept of temperature and thermal equilibrium. It states that if two systems are each in thermal equilibrium with a third system, they are in thermal equilibrium with each other. This transitive property allows for the consistent measurement of temperature, the driving potential for heat transfer.</w:t>
      </w:r>
    </w:p>
    <w:p>
      <w:pPr>
        <w:pStyle w:val="ListBullet"/>
        <w:jc w:val="both"/>
      </w:pPr>
      <w:r>
        <w:rPr>
          <w:rFonts w:ascii="Times New Roman" w:hAnsi="Times New Roman"/>
        </w:rPr>
        <w:t xml:space="preserve">  **The First Law of Thermodynamics (Conservation of Energy)** quantifies energy interactions. For a closed system, it states that the change in internal energy (ΔU) is equal to the net heat transfer into the system (Q) minus the net work done by the system (W): `ΔU = Q - W`. Heat (Q) is thereby formally defined as energy in transit across a system boundary due solely to a temperature difference.</w:t>
      </w:r>
    </w:p>
    <w:p>
      <w:pPr>
        <w:pStyle w:val="ListBullet"/>
        <w:jc w:val="both"/>
      </w:pPr>
      <w:r>
        <w:rPr>
          <w:rFonts w:ascii="Times New Roman" w:hAnsi="Times New Roman"/>
        </w:rPr>
        <w:t xml:space="preserve">  **The Second Law of Thermodynamics** dictates the directionality of spontaneous processes. The Clausius statement asserts that heat cannot spontaneously flow from a colder body to a hotter body. This unidirectional flow results in the generation of entropy, a measure of energy dispersion or system disorder. All real heat transfer processes are irreversible and produce entropy.</w:t>
      </w:r>
    </w:p>
    <w:p>
      <w:pPr>
        <w:jc w:val="both"/>
      </w:pPr>
      <w:r>
        <w:rPr>
          <w:rFonts w:ascii="Times New Roman" w:hAnsi="Times New Roman"/>
        </w:rPr>
        <w:t>These laws define the *why* of heat transfer; the modes of conduction, convection, and radiation describe the *how*.</w:t>
      </w:r>
    </w:p>
    <w:p>
      <w:pPr>
        <w:pStyle w:val="Heading2"/>
      </w:pPr>
      <w:r>
        <w:rPr>
          <w:rFonts w:ascii="Times New Roman" w:hAnsi="Times New Roman"/>
          <w:color w:val="000000"/>
        </w:rPr>
        <w:t>3.0 Modes of Heat Transfer</w:t>
      </w:r>
    </w:p>
    <w:p>
      <w:pPr>
        <w:jc w:val="both"/>
      </w:pPr>
      <w:r>
        <w:rPr>
          <w:rFonts w:ascii="Times New Roman" w:hAnsi="Times New Roman"/>
        </w:rPr>
        <w:t>Heat transfer occurs through three distinct physical mechanisms, each governed by its own fundamental law.</w:t>
      </w:r>
    </w:p>
    <w:p>
      <w:pPr>
        <w:pStyle w:val="Heading3"/>
      </w:pPr>
      <w:r>
        <w:rPr>
          <w:rFonts w:ascii="Times New Roman" w:hAnsi="Times New Roman"/>
          <w:color w:val="000000"/>
        </w:rPr>
        <w:t>3.1 Conduction</w:t>
      </w:r>
    </w:p>
    <w:p>
      <w:pPr>
        <w:jc w:val="both"/>
      </w:pPr>
      <w:r>
        <w:rPr>
          <w:rFonts w:ascii="Times New Roman" w:hAnsi="Times New Roman"/>
        </w:rPr>
        <w:t>Conduction is the transfer of thermal energy through a stationary medium—solid, liquid, or gas—due to the exchange of microscopic kinetic energy between particles (molecules, atoms, electrons) [citation:1][citation:10]. In solids, it occurs primarily through lattice vibrations (phonons) and, in metals, the motion of free electrons. In fluids, it occurs through molecular collisions. Conduction is the dominant mode of heat transfer in opaque solids [citation:10].</w:t>
      </w:r>
    </w:p>
    <w:p>
      <w:pPr>
        <w:jc w:val="both"/>
      </w:pPr>
      <w:r>
        <w:rPr>
          <w:rFonts w:ascii="Times New Roman" w:hAnsi="Times New Roman"/>
          <w:b/>
        </w:rPr>
        <w:t>Mathematical Formulation: Fourier's Law</w:t>
      </w:r>
    </w:p>
    <w:p>
      <w:pPr>
        <w:jc w:val="both"/>
      </w:pPr>
      <w:r>
        <w:rPr>
          <w:rFonts w:ascii="Times New Roman" w:hAnsi="Times New Roman"/>
        </w:rPr>
        <w:t>The rate of conductive heat transfer is described by Fourier's Law. For one-dimensional, steady-state conduction through a plane wall, it is expressed as:</w:t>
      </w:r>
    </w:p>
    <w:p>
      <w:pPr>
        <w:jc w:val="both"/>
      </w:pPr>
      <w:r>
        <w:rPr>
          <w:rFonts w:ascii="Times New Roman" w:hAnsi="Times New Roman"/>
        </w:rPr>
        <w:t>`\dot{Q}_cond = -k A (dT/dx)`</w:t>
      </w:r>
    </w:p>
    <w:p>
      <w:pPr>
        <w:jc w:val="both"/>
      </w:pPr>
      <w:r>
        <w:rPr>
          <w:rFonts w:ascii="Times New Roman" w:hAnsi="Times New Roman"/>
        </w:rPr>
        <w:t>In its integrated form for a wall of thickness L with constant k:</w:t>
      </w:r>
    </w:p>
    <w:p>
      <w:pPr>
        <w:jc w:val="both"/>
      </w:pPr>
      <w:r>
        <w:rPr>
          <w:rFonts w:ascii="Times New Roman" w:hAnsi="Times New Roman"/>
        </w:rPr>
        <w:t>`\dot{Q}_cond = k A (T_1 - T_2) / L` [citation:1][citation:6]</w:t>
      </w:r>
    </w:p>
    <w:p>
      <w:pPr>
        <w:pStyle w:val="ListBullet"/>
        <w:jc w:val="both"/>
      </w:pPr>
      <w:r>
        <w:rPr>
          <w:rFonts w:ascii="Times New Roman" w:hAnsi="Times New Roman"/>
        </w:rPr>
        <w:t xml:space="preserve">  **Variable Definitions:** `\dot{Q}_cond` is the conductive heat transfer rate (W), `k` is the thermal conductivity of the material (W/m·K), `A` is the cross-sectional area normal to the heat flow (m²), `dT/dx` is the temperature gradient (K/m), and `T_1, T_2` are the surface temperatures (K).</w:t>
      </w:r>
    </w:p>
    <w:p>
      <w:pPr>
        <w:jc w:val="both"/>
      </w:pPr>
      <w:r>
        <w:rPr>
          <w:rFonts w:ascii="Times New Roman" w:hAnsi="Times New Roman"/>
        </w:rPr>
        <w:t>The negative sign indicates heat flows in the direction of decreasing temperature. Thermal conductivity (`k`) is a material property that quantifies its inherent ability to conduct heat. As shown in Table 1, metals like copper and aluminum exhibit high `k`, while insulating materials like aerogels or still air have very low `k` [citation:5].</w:t>
      </w:r>
    </w:p>
    <w:p>
      <w:pPr>
        <w:pStyle w:val="Heading3"/>
      </w:pPr>
      <w:r>
        <w:rPr>
          <w:rFonts w:ascii="Times New Roman" w:hAnsi="Times New Roman"/>
          <w:color w:val="000000"/>
        </w:rPr>
        <w:t>3.2 Convection</w:t>
      </w:r>
    </w:p>
    <w:p>
      <w:pPr>
        <w:jc w:val="both"/>
      </w:pPr>
      <w:r>
        <w:rPr>
          <w:rFonts w:ascii="Times New Roman" w:hAnsi="Times New Roman"/>
        </w:rPr>
        <w:t>Convection is the mode of heat transfer that occurs between a solid surface and an adjacent moving fluid (liquid or gas). It combines two mechanisms: (1) conduction at the fluid-solid interface, and (2) energy transport via the bulk motion of the fluid (advection) [citation:10]. Convection is categorized as:</w:t>
      </w:r>
    </w:p>
    <w:p>
      <w:pPr>
        <w:pStyle w:val="ListBullet"/>
        <w:jc w:val="both"/>
      </w:pPr>
      <w:r>
        <w:rPr>
          <w:rFonts w:ascii="Times New Roman" w:hAnsi="Times New Roman"/>
        </w:rPr>
        <w:t xml:space="preserve">  **Natural (or Free) Convection:** Fluid motion is induced by buoyancy forces arising from density gradients caused by temperature variations.</w:t>
      </w:r>
    </w:p>
    <w:p>
      <w:pPr>
        <w:pStyle w:val="ListBullet"/>
        <w:jc w:val="both"/>
      </w:pPr>
      <w:r>
        <w:rPr>
          <w:rFonts w:ascii="Times New Roman" w:hAnsi="Times New Roman"/>
        </w:rPr>
        <w:t xml:space="preserve">  **Forced Convection:** Fluid motion is driven by external means, such as a pump, fan, or wind.</w:t>
      </w:r>
    </w:p>
    <w:p>
      <w:pPr>
        <w:jc w:val="both"/>
      </w:pPr>
      <w:r>
        <w:rPr>
          <w:rFonts w:ascii="Times New Roman" w:hAnsi="Times New Roman"/>
          <w:b/>
        </w:rPr>
        <w:t>Mathematical Formulation: Newton's Law of Cooling</w:t>
      </w:r>
    </w:p>
    <w:p>
      <w:pPr>
        <w:jc w:val="both"/>
      </w:pPr>
      <w:r>
        <w:rPr>
          <w:rFonts w:ascii="Times New Roman" w:hAnsi="Times New Roman"/>
        </w:rPr>
        <w:t>The convective heat transfer rate is given by Newton's Law of Cooling:</w:t>
      </w:r>
    </w:p>
    <w:p>
      <w:pPr>
        <w:jc w:val="both"/>
      </w:pPr>
      <w:r>
        <w:rPr>
          <w:rFonts w:ascii="Times New Roman" w:hAnsi="Times New Roman"/>
        </w:rPr>
        <w:t>`\dot{Q}_conv = h A_s (T_s - T_∞)` [citation:2][citation:4][citation:10]</w:t>
      </w:r>
    </w:p>
    <w:p>
      <w:pPr>
        <w:pStyle w:val="ListBullet"/>
        <w:jc w:val="both"/>
      </w:pPr>
      <w:r>
        <w:rPr>
          <w:rFonts w:ascii="Times New Roman" w:hAnsi="Times New Roman"/>
        </w:rPr>
        <w:t xml:space="preserve">  **Variable Definitions:** `\dot{Q}_conv` is the convective heat transfer rate (W), `h` is the convective heat transfer coefficient (W/m²·K), `A_s` is the surface area in contact with the fluid (m²), `T_s` is the surface temperature (K), and `T_∞` is the bulk fluid temperature (K).</w:t>
      </w:r>
    </w:p>
    <w:p>
      <w:pPr>
        <w:jc w:val="both"/>
      </w:pPr>
      <w:r>
        <w:rPr>
          <w:rFonts w:ascii="Times New Roman" w:hAnsi="Times New Roman"/>
        </w:rPr>
        <w:t>The convective heat transfer coefficient (`h`) is not a material property but a complex parameter that depends on the fluid properties, flow geometry, flow velocity, and the nature of the flow (laminar or turbulent). Its determination often relies on empirical correlations involving dimensionless numbers (see Table 2) [citation:4][citation:9].</w:t>
      </w:r>
    </w:p>
    <w:p>
      <w:pPr>
        <w:pStyle w:val="Heading3"/>
      </w:pPr>
      <w:r>
        <w:rPr>
          <w:rFonts w:ascii="Times New Roman" w:hAnsi="Times New Roman"/>
          <w:color w:val="000000"/>
        </w:rPr>
        <w:t>3.3 Radiation</w:t>
      </w:r>
    </w:p>
    <w:p>
      <w:pPr>
        <w:jc w:val="both"/>
      </w:pPr>
      <w:r>
        <w:rPr>
          <w:rFonts w:ascii="Times New Roman" w:hAnsi="Times New Roman"/>
        </w:rPr>
        <w:t>Thermal radiation is the transfer of energy via electromagnetic waves emitted by matter due to its temperature. Crucially, it requires no medium and can occur through a perfect vacuum [citation:3][citation:10]. All bodies at a temperature above absolute zero emit radiation. The intensity and spectral distribution of this emission depend on the temperature and surface characteristics of the body.</w:t>
      </w:r>
    </w:p>
    <w:p>
      <w:pPr>
        <w:jc w:val="both"/>
      </w:pPr>
      <w:r>
        <w:rPr>
          <w:rFonts w:ascii="Times New Roman" w:hAnsi="Times New Roman"/>
          <w:b/>
        </w:rPr>
        <w:t>Mathematical Formulation: The Stefan-Boltzmann Law</w:t>
      </w:r>
    </w:p>
    <w:p>
      <w:pPr>
        <w:jc w:val="both"/>
      </w:pPr>
      <w:r>
        <w:rPr>
          <w:rFonts w:ascii="Times New Roman" w:hAnsi="Times New Roman"/>
        </w:rPr>
        <w:t>The maximum possible radiative energy emitted by a perfect emitter (a blackbody) is given by the Stefan-Boltzmann Law:</w:t>
      </w:r>
    </w:p>
    <w:p>
      <w:pPr>
        <w:jc w:val="both"/>
      </w:pPr>
      <w:r>
        <w:rPr>
          <w:rFonts w:ascii="Times New Roman" w:hAnsi="Times New Roman"/>
        </w:rPr>
        <w:t>`\dot{Q}_emit, max = σ A_s T_s^4`</w:t>
      </w:r>
    </w:p>
    <w:p>
      <w:pPr>
        <w:jc w:val="both"/>
      </w:pPr>
      <w:r>
        <w:rPr>
          <w:rFonts w:ascii="Times New Roman" w:hAnsi="Times New Roman"/>
        </w:rPr>
        <w:t>For a real surface, the equation is modified by emissivity (ε):</w:t>
      </w:r>
    </w:p>
    <w:p>
      <w:pPr>
        <w:jc w:val="both"/>
      </w:pPr>
      <w:r>
        <w:rPr>
          <w:rFonts w:ascii="Times New Roman" w:hAnsi="Times New Roman"/>
        </w:rPr>
        <w:t>`\dot{Q}_emit = ε σ A_s T_s^4` [citation:3][citation:8]</w:t>
      </w:r>
    </w:p>
    <w:p>
      <w:pPr>
        <w:pStyle w:val="ListBullet"/>
        <w:jc w:val="both"/>
      </w:pPr>
      <w:r>
        <w:rPr>
          <w:rFonts w:ascii="Times New Roman" w:hAnsi="Times New Roman"/>
        </w:rPr>
        <w:t xml:space="preserve">  **Variable Definitions:** `\dot{Q}_emit` is the radiative energy emitted by a surface (W), `σ` is the Stefan-Boltzmann constant (5.670374419×10⁻⁸ W/m²·K⁴) [citation:3], `ε` is the emissivity of the surface (0 ≤ ε ≤ 1), `A_s` is the surface area (m²), and `T_s` is the absolute surface temperature (K).</w:t>
      </w:r>
    </w:p>
    <w:p>
      <w:pPr>
        <w:jc w:val="both"/>
      </w:pPr>
      <w:r>
        <w:rPr>
          <w:rFonts w:ascii="Times New Roman" w:hAnsi="Times New Roman"/>
        </w:rPr>
        <w:t>When a body at temperature `T_s` is surrounded by an environment at `T_surr`, the *net* radiative heat exchange is:</w:t>
      </w:r>
    </w:p>
    <w:p>
      <w:pPr>
        <w:jc w:val="both"/>
      </w:pPr>
      <w:r>
        <w:rPr>
          <w:rFonts w:ascii="Times New Roman" w:hAnsi="Times New Roman"/>
        </w:rPr>
        <w:t>`\dot{Q}_rad = ε σ A_s (T_s^4 - T_surr^4)` [citation:3][citation:8].</w:t>
      </w:r>
    </w:p>
    <w:p>
      <w:pPr>
        <w:pStyle w:val="Heading2"/>
      </w:pPr>
      <w:r>
        <w:rPr>
          <w:rFonts w:ascii="Times New Roman" w:hAnsi="Times New Roman"/>
          <w:color w:val="000000"/>
        </w:rPr>
        <w:t>4.0 Comparison of Key Properties and Parameters</w:t>
      </w:r>
    </w:p>
    <w:p>
      <w:pPr>
        <w:jc w:val="both"/>
      </w:pPr>
      <w:r>
        <w:rPr>
          <w:rFonts w:ascii="Times New Roman" w:hAnsi="Times New Roman"/>
          <w:b/>
        </w:rPr>
        <w:t>Table 1: Characteristic Thermal Properties of Common Materials (at ~20°C)</w:t>
      </w:r>
      <w:r>
        <w:rPr>
          <w:rFonts w:ascii="Times New Roman" w:hAnsi="Times New Roman"/>
        </w:rPr>
        <w:t xml:space="preserve"> [citation:5]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vAlign w:val="center"/>
          </w:tcPr>
          <w:p>
            <w:r>
              <w:rPr>
                <w:rFonts w:ascii="Times New Roman" w:hAnsi="Times New Roman"/>
                <w:b/>
                <w:sz w:val="22"/>
              </w:rPr>
              <w:t>Material Category</w:t>
            </w:r>
          </w:p>
        </w:tc>
        <w:tc>
          <w:tcPr>
            <w:tcW w:type="dxa" w:w="1728"/>
            <w:vAlign w:val="center"/>
          </w:tcPr>
          <w:p>
            <w:r>
              <w:rPr>
                <w:rFonts w:ascii="Times New Roman" w:hAnsi="Times New Roman"/>
                <w:b/>
                <w:sz w:val="22"/>
              </w:rPr>
              <w:t>Example Material</w:t>
            </w:r>
          </w:p>
        </w:tc>
        <w:tc>
          <w:tcPr>
            <w:tcW w:type="dxa" w:w="1728"/>
            <w:vAlign w:val="center"/>
          </w:tcPr>
          <w:p>
            <w:r>
              <w:rPr>
                <w:rFonts w:ascii="Times New Roman" w:hAnsi="Times New Roman"/>
                <w:b/>
                <w:sz w:val="22"/>
              </w:rPr>
              <w:t>Thermal Conductivity, `k` (W/m·K)</w:t>
            </w:r>
          </w:p>
        </w:tc>
        <w:tc>
          <w:tcPr>
            <w:tcW w:type="dxa" w:w="1728"/>
            <w:vAlign w:val="center"/>
          </w:tcPr>
          <w:p>
            <w:r>
              <w:rPr>
                <w:rFonts w:ascii="Times New Roman" w:hAnsi="Times New Roman"/>
                <w:b/>
                <w:sz w:val="22"/>
              </w:rPr>
              <w:t>Specific Heat Capacity, `c_p` (J/kg·K)</w:t>
            </w:r>
          </w:p>
        </w:tc>
        <w:tc>
          <w:tcPr>
            <w:tcW w:type="dxa" w:w="1728"/>
            <w:vAlign w:val="center"/>
          </w:tcPr>
          <w:p>
            <w:r>
              <w:rPr>
                <w:rFonts w:ascii="Times New Roman" w:hAnsi="Times New Roman"/>
                <w:b/>
                <w:sz w:val="22"/>
              </w:rPr>
              <w:t>Key Application/Implication</w:t>
            </w:r>
          </w:p>
        </w:tc>
      </w:tr>
      <w:tr>
        <w:tc>
          <w:tcPr>
            <w:tcW w:type="dxa" w:w="1728"/>
          </w:tcPr>
          <w:p>
            <w:r>
              <w:rPr>
                <w:rFonts w:ascii="Times New Roman" w:hAnsi="Times New Roman"/>
                <w:sz w:val="22"/>
              </w:rPr>
              <w:t>**Metals (High Conduction)**</w:t>
            </w:r>
          </w:p>
        </w:tc>
        <w:tc>
          <w:tcPr>
            <w:tcW w:type="dxa" w:w="1728"/>
          </w:tcPr>
          <w:p>
            <w:r>
              <w:rPr>
                <w:rFonts w:ascii="Times New Roman" w:hAnsi="Times New Roman"/>
                <w:sz w:val="22"/>
              </w:rPr>
              <w:t>Copper (Pure)</w:t>
            </w:r>
          </w:p>
        </w:tc>
        <w:tc>
          <w:tcPr>
            <w:tcW w:type="dxa" w:w="1728"/>
          </w:tcPr>
          <w:p>
            <w:r>
              <w:rPr>
                <w:rFonts w:ascii="Times New Roman" w:hAnsi="Times New Roman"/>
                <w:sz w:val="22"/>
              </w:rPr>
              <w:t>~400</w:t>
            </w:r>
          </w:p>
        </w:tc>
        <w:tc>
          <w:tcPr>
            <w:tcW w:type="dxa" w:w="1728"/>
          </w:tcPr>
          <w:p>
            <w:r>
              <w:rPr>
                <w:rFonts w:ascii="Times New Roman" w:hAnsi="Times New Roman"/>
                <w:sz w:val="22"/>
              </w:rPr>
              <w:t>385</w:t>
            </w:r>
          </w:p>
        </w:tc>
        <w:tc>
          <w:tcPr>
            <w:tcW w:type="dxa" w:w="1728"/>
          </w:tcPr>
          <w:p>
            <w:r>
              <w:rPr>
                <w:rFonts w:ascii="Times New Roman" w:hAnsi="Times New Roman"/>
                <w:sz w:val="22"/>
              </w:rPr>
              <w:t>Heat exchangers, electrical wiring.</w:t>
            </w:r>
          </w:p>
        </w:tc>
      </w:tr>
      <w:tr>
        <w:tc>
          <w:tcPr>
            <w:tcW w:type="dxa" w:w="1728"/>
          </w:tcPr>
          <w:p>
            <w:r>
              <w:rPr>
                <w:rFonts w:ascii="Times New Roman" w:hAnsi="Times New Roman"/>
                <w:sz w:val="22"/>
              </w:rPr>
              <w:t>Aluminum (Pure)</w:t>
            </w:r>
          </w:p>
        </w:tc>
        <w:tc>
          <w:tcPr>
            <w:tcW w:type="dxa" w:w="1728"/>
          </w:tcPr>
          <w:p>
            <w:r>
              <w:rPr>
                <w:rFonts w:ascii="Times New Roman" w:hAnsi="Times New Roman"/>
                <w:sz w:val="22"/>
              </w:rPr>
              <w:t>~225</w:t>
            </w:r>
          </w:p>
        </w:tc>
        <w:tc>
          <w:tcPr>
            <w:tcW w:type="dxa" w:w="1728"/>
          </w:tcPr>
          <w:p>
            <w:r>
              <w:rPr>
                <w:rFonts w:ascii="Times New Roman" w:hAnsi="Times New Roman"/>
                <w:sz w:val="22"/>
              </w:rPr>
              <w:t>921</w:t>
            </w:r>
          </w:p>
        </w:tc>
        <w:tc>
          <w:tcPr>
            <w:tcW w:type="dxa" w:w="1728"/>
          </w:tcPr>
          <w:p>
            <w:r>
              <w:rPr>
                <w:rFonts w:ascii="Times New Roman" w:hAnsi="Times New Roman"/>
                <w:sz w:val="22"/>
              </w:rPr>
              <w:t>Heat sinks, lightweight structures.</w:t>
            </w:r>
          </w:p>
        </w:tc>
        <w:tc>
          <w:tcPr>
            <w:tcW w:type="dxa" w:w="1728"/>
          </w:tcPr>
          <w:p/>
        </w:tc>
      </w:tr>
      <w:tr>
        <w:tc>
          <w:tcPr>
            <w:tcW w:type="dxa" w:w="1728"/>
          </w:tcPr>
          <w:p>
            <w:r>
              <w:rPr>
                <w:rFonts w:ascii="Times New Roman" w:hAnsi="Times New Roman"/>
                <w:sz w:val="22"/>
              </w:rPr>
              <w:t>Carbon Steel (~1% C)</w:t>
            </w:r>
          </w:p>
        </w:tc>
        <w:tc>
          <w:tcPr>
            <w:tcW w:type="dxa" w:w="1728"/>
          </w:tcPr>
          <w:p>
            <w:r>
              <w:rPr>
                <w:rFonts w:ascii="Times New Roman" w:hAnsi="Times New Roman"/>
                <w:sz w:val="22"/>
              </w:rPr>
              <w:t>~43</w:t>
            </w:r>
          </w:p>
        </w:tc>
        <w:tc>
          <w:tcPr>
            <w:tcW w:type="dxa" w:w="1728"/>
          </w:tcPr>
          <w:p>
            <w:r>
              <w:rPr>
                <w:rFonts w:ascii="Times New Roman" w:hAnsi="Times New Roman"/>
                <w:sz w:val="22"/>
              </w:rPr>
              <w:t>470</w:t>
            </w:r>
          </w:p>
        </w:tc>
        <w:tc>
          <w:tcPr>
            <w:tcW w:type="dxa" w:w="1728"/>
          </w:tcPr>
          <w:p>
            <w:r>
              <w:rPr>
                <w:rFonts w:ascii="Times New Roman" w:hAnsi="Times New Roman"/>
                <w:sz w:val="22"/>
              </w:rPr>
              <w:t>Structural components, moderate heat spread.</w:t>
            </w:r>
          </w:p>
        </w:tc>
        <w:tc>
          <w:tcPr>
            <w:tcW w:type="dxa" w:w="1728"/>
          </w:tcPr>
          <w:p/>
        </w:tc>
      </w:tr>
      <w:tr>
        <w:tc>
          <w:tcPr>
            <w:tcW w:type="dxa" w:w="1728"/>
          </w:tcPr>
          <w:p>
            <w:r>
              <w:rPr>
                <w:rFonts w:ascii="Times New Roman" w:hAnsi="Times New Roman"/>
                <w:sz w:val="22"/>
              </w:rPr>
              <w:t>**Non-Metallic Solids**</w:t>
            </w:r>
          </w:p>
        </w:tc>
        <w:tc>
          <w:tcPr>
            <w:tcW w:type="dxa" w:w="1728"/>
          </w:tcPr>
          <w:p>
            <w:r>
              <w:rPr>
                <w:rFonts w:ascii="Times New Roman" w:hAnsi="Times New Roman"/>
                <w:sz w:val="22"/>
              </w:rPr>
              <w:t>Fused Silica (Glass)</w:t>
            </w:r>
          </w:p>
        </w:tc>
        <w:tc>
          <w:tcPr>
            <w:tcW w:type="dxa" w:w="1728"/>
          </w:tcPr>
          <w:p>
            <w:r>
              <w:rPr>
                <w:rFonts w:ascii="Times New Roman" w:hAnsi="Times New Roman"/>
                <w:sz w:val="22"/>
              </w:rPr>
              <w:t>~1.4</w:t>
            </w:r>
          </w:p>
        </w:tc>
        <w:tc>
          <w:tcPr>
            <w:tcW w:type="dxa" w:w="1728"/>
          </w:tcPr>
          <w:p>
            <w:r>
              <w:rPr>
                <w:rFonts w:ascii="Times New Roman" w:hAnsi="Times New Roman"/>
                <w:sz w:val="22"/>
              </w:rPr>
              <w:t>740</w:t>
            </w:r>
          </w:p>
        </w:tc>
        <w:tc>
          <w:tcPr>
            <w:tcW w:type="dxa" w:w="1728"/>
          </w:tcPr>
          <w:p>
            <w:r>
              <w:rPr>
                <w:rFonts w:ascii="Times New Roman" w:hAnsi="Times New Roman"/>
                <w:sz w:val="22"/>
              </w:rPr>
              <w:t>Windows, optical devices.</w:t>
            </w:r>
          </w:p>
        </w:tc>
      </w:tr>
      <w:tr>
        <w:tc>
          <w:tcPr>
            <w:tcW w:type="dxa" w:w="1728"/>
          </w:tcPr>
          <w:p>
            <w:r>
              <w:rPr>
                <w:rFonts w:ascii="Times New Roman" w:hAnsi="Times New Roman"/>
                <w:sz w:val="22"/>
              </w:rPr>
              <w:t>Brick (Building)</w:t>
            </w:r>
          </w:p>
        </w:tc>
        <w:tc>
          <w:tcPr>
            <w:tcW w:type="dxa" w:w="1728"/>
          </w:tcPr>
          <w:p>
            <w:r>
              <w:rPr>
                <w:rFonts w:ascii="Times New Roman" w:hAnsi="Times New Roman"/>
                <w:sz w:val="22"/>
              </w:rPr>
              <w:t>~0.7</w:t>
            </w:r>
          </w:p>
        </w:tc>
        <w:tc>
          <w:tcPr>
            <w:tcW w:type="dxa" w:w="1728"/>
          </w:tcPr>
          <w:p>
            <w:r>
              <w:rPr>
                <w:rFonts w:ascii="Times New Roman" w:hAnsi="Times New Roman"/>
                <w:sz w:val="22"/>
              </w:rPr>
              <w:t>800</w:t>
            </w:r>
          </w:p>
        </w:tc>
        <w:tc>
          <w:tcPr>
            <w:tcW w:type="dxa" w:w="1728"/>
          </w:tcPr>
          <w:p>
            <w:r>
              <w:rPr>
                <w:rFonts w:ascii="Times New Roman" w:hAnsi="Times New Roman"/>
                <w:sz w:val="22"/>
              </w:rPr>
              <w:t>Building construction, thermal mass.</w:t>
            </w:r>
          </w:p>
        </w:tc>
        <w:tc>
          <w:tcPr>
            <w:tcW w:type="dxa" w:w="1728"/>
          </w:tcPr>
          <w:p/>
        </w:tc>
      </w:tr>
      <w:tr>
        <w:tc>
          <w:tcPr>
            <w:tcW w:type="dxa" w:w="1728"/>
          </w:tcPr>
          <w:p>
            <w:r>
              <w:rPr>
                <w:rFonts w:ascii="Times New Roman" w:hAnsi="Times New Roman"/>
                <w:sz w:val="22"/>
              </w:rPr>
              <w:t>Polyurethane Foam</w:t>
            </w:r>
          </w:p>
        </w:tc>
        <w:tc>
          <w:tcPr>
            <w:tcW w:type="dxa" w:w="1728"/>
          </w:tcPr>
          <w:p>
            <w:r>
              <w:rPr>
                <w:rFonts w:ascii="Times New Roman" w:hAnsi="Times New Roman"/>
                <w:sz w:val="22"/>
              </w:rPr>
              <w:t>~0.03</w:t>
            </w:r>
          </w:p>
        </w:tc>
        <w:tc>
          <w:tcPr>
            <w:tcW w:type="dxa" w:w="1728"/>
          </w:tcPr>
          <w:p>
            <w:r>
              <w:rPr>
                <w:rFonts w:ascii="Times New Roman" w:hAnsi="Times New Roman"/>
                <w:sz w:val="22"/>
              </w:rPr>
              <w:t>1300</w:t>
            </w:r>
          </w:p>
        </w:tc>
        <w:tc>
          <w:tcPr>
            <w:tcW w:type="dxa" w:w="1728"/>
          </w:tcPr>
          <w:p>
            <w:r>
              <w:rPr>
                <w:rFonts w:ascii="Times New Roman" w:hAnsi="Times New Roman"/>
                <w:sz w:val="22"/>
              </w:rPr>
              <w:t>Thermal insulation in walls and refrigeration.</w:t>
            </w:r>
          </w:p>
        </w:tc>
        <w:tc>
          <w:tcPr>
            <w:tcW w:type="dxa" w:w="1728"/>
          </w:tcPr>
          <w:p/>
        </w:tc>
      </w:tr>
      <w:tr>
        <w:tc>
          <w:tcPr>
            <w:tcW w:type="dxa" w:w="1728"/>
          </w:tcPr>
          <w:p>
            <w:r>
              <w:rPr>
                <w:rFonts w:ascii="Times New Roman" w:hAnsi="Times New Roman"/>
                <w:sz w:val="22"/>
              </w:rPr>
              <w:t>**Fluids**</w:t>
            </w:r>
          </w:p>
        </w:tc>
        <w:tc>
          <w:tcPr>
            <w:tcW w:type="dxa" w:w="1728"/>
          </w:tcPr>
          <w:p>
            <w:r>
              <w:rPr>
                <w:rFonts w:ascii="Times New Roman" w:hAnsi="Times New Roman"/>
                <w:sz w:val="22"/>
              </w:rPr>
              <w:t>Water (Liquid)</w:t>
            </w:r>
          </w:p>
        </w:tc>
        <w:tc>
          <w:tcPr>
            <w:tcW w:type="dxa" w:w="1728"/>
          </w:tcPr>
          <w:p>
            <w:r>
              <w:rPr>
                <w:rFonts w:ascii="Times New Roman" w:hAnsi="Times New Roman"/>
                <w:sz w:val="22"/>
              </w:rPr>
              <w:t>~0.60</w:t>
            </w:r>
          </w:p>
        </w:tc>
        <w:tc>
          <w:tcPr>
            <w:tcW w:type="dxa" w:w="1728"/>
          </w:tcPr>
          <w:p>
            <w:r>
              <w:rPr>
                <w:rFonts w:ascii="Times New Roman" w:hAnsi="Times New Roman"/>
                <w:sz w:val="22"/>
              </w:rPr>
              <w:t>4186</w:t>
            </w:r>
          </w:p>
        </w:tc>
        <w:tc>
          <w:tcPr>
            <w:tcW w:type="dxa" w:w="1728"/>
          </w:tcPr>
          <w:p>
            <w:r>
              <w:rPr>
                <w:rFonts w:ascii="Times New Roman" w:hAnsi="Times New Roman"/>
                <w:sz w:val="22"/>
              </w:rPr>
              <w:t>Excellent for convective cooling and heat storage.</w:t>
            </w:r>
          </w:p>
        </w:tc>
      </w:tr>
      <w:tr>
        <w:tc>
          <w:tcPr>
            <w:tcW w:type="dxa" w:w="1728"/>
          </w:tcPr>
          <w:p>
            <w:r>
              <w:rPr>
                <w:rFonts w:ascii="Times New Roman" w:hAnsi="Times New Roman"/>
                <w:sz w:val="22"/>
              </w:rPr>
              <w:t>Air (Atmospheric)</w:t>
            </w:r>
          </w:p>
        </w:tc>
        <w:tc>
          <w:tcPr>
            <w:tcW w:type="dxa" w:w="1728"/>
          </w:tcPr>
          <w:p>
            <w:r>
              <w:rPr>
                <w:rFonts w:ascii="Times New Roman" w:hAnsi="Times New Roman"/>
                <w:sz w:val="22"/>
              </w:rPr>
              <w:t>~0.025</w:t>
            </w:r>
          </w:p>
        </w:tc>
        <w:tc>
          <w:tcPr>
            <w:tcW w:type="dxa" w:w="1728"/>
          </w:tcPr>
          <w:p>
            <w:r>
              <w:rPr>
                <w:rFonts w:ascii="Times New Roman" w:hAnsi="Times New Roman"/>
                <w:sz w:val="22"/>
              </w:rPr>
              <w:t>1004</w:t>
            </w:r>
          </w:p>
        </w:tc>
        <w:tc>
          <w:tcPr>
            <w:tcW w:type="dxa" w:w="1728"/>
          </w:tcPr>
          <w:p>
            <w:r>
              <w:rPr>
                <w:rFonts w:ascii="Times New Roman" w:hAnsi="Times New Roman"/>
                <w:sz w:val="22"/>
              </w:rPr>
              <w:t>Natural convective medium; primary insulator in double-glazed windows.</w:t>
            </w:r>
          </w:p>
        </w:tc>
        <w:tc>
          <w:tcPr>
            <w:tcW w:type="dxa" w:w="1728"/>
          </w:tcPr>
          <w:p/>
        </w:tc>
      </w:tr>
      <w:tr>
        <w:tc>
          <w:tcPr>
            <w:tcW w:type="dxa" w:w="1728"/>
          </w:tcPr>
          <w:p>
            <w:r>
              <w:rPr>
                <w:rFonts w:ascii="Times New Roman" w:hAnsi="Times New Roman"/>
                <w:sz w:val="22"/>
              </w:rPr>
              <w:t>Engine Oil</w:t>
            </w:r>
          </w:p>
        </w:tc>
        <w:tc>
          <w:tcPr>
            <w:tcW w:type="dxa" w:w="1728"/>
          </w:tcPr>
          <w:p>
            <w:r>
              <w:rPr>
                <w:rFonts w:ascii="Times New Roman" w:hAnsi="Times New Roman"/>
                <w:sz w:val="22"/>
              </w:rPr>
              <w:t>~0.15</w:t>
            </w:r>
          </w:p>
        </w:tc>
        <w:tc>
          <w:tcPr>
            <w:tcW w:type="dxa" w:w="1728"/>
          </w:tcPr>
          <w:p>
            <w:r>
              <w:rPr>
                <w:rFonts w:ascii="Times New Roman" w:hAnsi="Times New Roman"/>
                <w:sz w:val="22"/>
              </w:rPr>
              <w:t>1900</w:t>
            </w:r>
          </w:p>
        </w:tc>
        <w:tc>
          <w:tcPr>
            <w:tcW w:type="dxa" w:w="1728"/>
          </w:tcPr>
          <w:p>
            <w:r>
              <w:rPr>
                <w:rFonts w:ascii="Times New Roman" w:hAnsi="Times New Roman"/>
                <w:sz w:val="22"/>
              </w:rPr>
              <w:t>Lubricant and coolant in machinery.</w:t>
            </w:r>
          </w:p>
        </w:tc>
        <w:tc>
          <w:tcPr>
            <w:tcW w:type="dxa" w:w="1728"/>
          </w:tcPr>
          <w:p/>
        </w:tc>
      </w:tr>
    </w:tbl>
    <w:p>
      <w:pPr>
        <w:jc w:val="both"/>
      </w:pPr>
      <w:r>
        <w:rPr>
          <w:rFonts w:ascii="Times New Roman" w:hAnsi="Times New Roman"/>
          <w:b/>
        </w:rPr>
        <w:t>Table 2: Key Dimensionless Numbers in Convective Heat Transfer</w:t>
      </w:r>
      <w:r>
        <w:rPr>
          <w:rFonts w:ascii="Times New Roman" w:hAnsi="Times New Roman"/>
        </w:rPr>
        <w:t xml:space="preserve"> [citation:4][citation:9]</w:t>
      </w:r>
    </w:p>
    <w:tbl>
      <w:tblPr>
        <w:tblStyle w:val="TableGrid"/>
        <w:tblW w:type="auto" w:w="0"/>
        <w:tblLook w:firstColumn="1" w:firstRow="1" w:lastColumn="0" w:lastRow="0" w:noHBand="0" w:noVBand="1" w:val="04A0"/>
      </w:tblPr>
      <w:tblGrid>
        <w:gridCol w:w="2160"/>
        <w:gridCol w:w="2160"/>
        <w:gridCol w:w="2160"/>
        <w:gridCol w:w="2160"/>
      </w:tblGrid>
      <w:tr>
        <w:tc>
          <w:tcPr>
            <w:tcW w:type="dxa" w:w="2160"/>
            <w:vAlign w:val="center"/>
          </w:tcPr>
          <w:p>
            <w:r>
              <w:rPr>
                <w:rFonts w:ascii="Times New Roman" w:hAnsi="Times New Roman"/>
                <w:b/>
                <w:sz w:val="22"/>
              </w:rPr>
              <w:t>Dimensionless Number</w:t>
            </w:r>
          </w:p>
        </w:tc>
        <w:tc>
          <w:tcPr>
            <w:tcW w:type="dxa" w:w="2160"/>
            <w:vAlign w:val="center"/>
          </w:tcPr>
          <w:p>
            <w:r>
              <w:rPr>
                <w:rFonts w:ascii="Times New Roman" w:hAnsi="Times New Roman"/>
                <w:b/>
                <w:sz w:val="22"/>
              </w:rPr>
              <w:t>Symbol</w:t>
            </w:r>
          </w:p>
        </w:tc>
        <w:tc>
          <w:tcPr>
            <w:tcW w:type="dxa" w:w="2160"/>
            <w:vAlign w:val="center"/>
          </w:tcPr>
          <w:p>
            <w:r>
              <w:rPr>
                <w:rFonts w:ascii="Times New Roman" w:hAnsi="Times New Roman"/>
                <w:b/>
                <w:sz w:val="22"/>
              </w:rPr>
              <w:t>Formula</w:t>
            </w:r>
          </w:p>
        </w:tc>
        <w:tc>
          <w:tcPr>
            <w:tcW w:type="dxa" w:w="2160"/>
            <w:vAlign w:val="center"/>
          </w:tcPr>
          <w:p>
            <w:r>
              <w:rPr>
                <w:rFonts w:ascii="Times New Roman" w:hAnsi="Times New Roman"/>
                <w:b/>
                <w:sz w:val="22"/>
              </w:rPr>
              <w:t>Physical Significance</w:t>
            </w:r>
          </w:p>
        </w:tc>
      </w:tr>
      <w:tr>
        <w:tc>
          <w:tcPr>
            <w:tcW w:type="dxa" w:w="2160"/>
          </w:tcPr>
          <w:p>
            <w:r>
              <w:rPr>
                <w:rFonts w:ascii="Times New Roman" w:hAnsi="Times New Roman"/>
                <w:sz w:val="22"/>
              </w:rPr>
              <w:t>**Nusselt Number**</w:t>
            </w:r>
          </w:p>
        </w:tc>
        <w:tc>
          <w:tcPr>
            <w:tcW w:type="dxa" w:w="2160"/>
          </w:tcPr>
          <w:p>
            <w:r>
              <w:rPr>
                <w:rFonts w:ascii="Times New Roman" w:hAnsi="Times New Roman"/>
                <w:sz w:val="22"/>
              </w:rPr>
              <w:t>Nu</w:t>
            </w:r>
          </w:p>
        </w:tc>
        <w:tc>
          <w:tcPr>
            <w:tcW w:type="dxa" w:w="2160"/>
          </w:tcPr>
          <w:p>
            <w:r>
              <w:rPr>
                <w:rFonts w:ascii="Times New Roman" w:hAnsi="Times New Roman"/>
                <w:sz w:val="22"/>
              </w:rPr>
              <w:t>`Nu_L = h L / k_f`</w:t>
            </w:r>
          </w:p>
        </w:tc>
        <w:tc>
          <w:tcPr>
            <w:tcW w:type="dxa" w:w="2160"/>
          </w:tcPr>
          <w:p>
            <w:r>
              <w:rPr>
                <w:rFonts w:ascii="Times New Roman" w:hAnsi="Times New Roman"/>
                <w:sz w:val="22"/>
              </w:rPr>
              <w:t>Ratio of convective to conductive heat transfer across a boundary layer. A higher Nu indicates more effective convection.</w:t>
            </w:r>
          </w:p>
        </w:tc>
      </w:tr>
      <w:tr>
        <w:tc>
          <w:tcPr>
            <w:tcW w:type="dxa" w:w="2160"/>
          </w:tcPr>
          <w:p>
            <w:r>
              <w:rPr>
                <w:rFonts w:ascii="Times New Roman" w:hAnsi="Times New Roman"/>
                <w:sz w:val="22"/>
              </w:rPr>
              <w:t>**Reynolds Number**</w:t>
            </w:r>
          </w:p>
        </w:tc>
        <w:tc>
          <w:tcPr>
            <w:tcW w:type="dxa" w:w="2160"/>
          </w:tcPr>
          <w:p>
            <w:r>
              <w:rPr>
                <w:rFonts w:ascii="Times New Roman" w:hAnsi="Times New Roman"/>
                <w:sz w:val="22"/>
              </w:rPr>
              <w:t>Re</w:t>
            </w:r>
          </w:p>
        </w:tc>
        <w:tc>
          <w:tcPr>
            <w:tcW w:type="dxa" w:w="2160"/>
          </w:tcPr>
          <w:p>
            <w:r>
              <w:rPr>
                <w:rFonts w:ascii="Times New Roman" w:hAnsi="Times New Roman"/>
                <w:sz w:val="22"/>
              </w:rPr>
              <w:t>`Re_L = ρ U L / μ`</w:t>
            </w:r>
          </w:p>
        </w:tc>
        <w:tc>
          <w:tcPr>
            <w:tcW w:type="dxa" w:w="2160"/>
          </w:tcPr>
          <w:p>
            <w:r>
              <w:rPr>
                <w:rFonts w:ascii="Times New Roman" w:hAnsi="Times New Roman"/>
                <w:sz w:val="22"/>
              </w:rPr>
              <w:t>Ratio of inertial to viscous forces. Predicts flow regime (laminar or turbulent).</w:t>
            </w:r>
          </w:p>
        </w:tc>
      </w:tr>
      <w:tr>
        <w:tc>
          <w:tcPr>
            <w:tcW w:type="dxa" w:w="2160"/>
          </w:tcPr>
          <w:p>
            <w:r>
              <w:rPr>
                <w:rFonts w:ascii="Times New Roman" w:hAnsi="Times New Roman"/>
                <w:sz w:val="22"/>
              </w:rPr>
              <w:t>**Prandtl Number**</w:t>
            </w:r>
          </w:p>
        </w:tc>
        <w:tc>
          <w:tcPr>
            <w:tcW w:type="dxa" w:w="2160"/>
          </w:tcPr>
          <w:p>
            <w:r>
              <w:rPr>
                <w:rFonts w:ascii="Times New Roman" w:hAnsi="Times New Roman"/>
                <w:sz w:val="22"/>
              </w:rPr>
              <w:t>Pr</w:t>
            </w:r>
          </w:p>
        </w:tc>
        <w:tc>
          <w:tcPr>
            <w:tcW w:type="dxa" w:w="2160"/>
          </w:tcPr>
          <w:p>
            <w:r>
              <w:rPr>
                <w:rFonts w:ascii="Times New Roman" w:hAnsi="Times New Roman"/>
                <w:sz w:val="22"/>
              </w:rPr>
              <w:t>`Pr = μ c_p / k_f`</w:t>
            </w:r>
          </w:p>
        </w:tc>
        <w:tc>
          <w:tcPr>
            <w:tcW w:type="dxa" w:w="2160"/>
          </w:tcPr>
          <w:p>
            <w:r>
              <w:rPr>
                <w:rFonts w:ascii="Times New Roman" w:hAnsi="Times New Roman"/>
                <w:sz w:val="22"/>
              </w:rPr>
              <w:t>Ratio of momentum diffusivity to thermal diffusivity. Characterizes the fluid.</w:t>
            </w:r>
          </w:p>
        </w:tc>
      </w:tr>
      <w:tr>
        <w:tc>
          <w:tcPr>
            <w:tcW w:type="dxa" w:w="2160"/>
          </w:tcPr>
          <w:p>
            <w:r>
              <w:rPr>
                <w:rFonts w:ascii="Times New Roman" w:hAnsi="Times New Roman"/>
                <w:sz w:val="22"/>
              </w:rPr>
              <w:t>**Grashof Number**</w:t>
            </w:r>
          </w:p>
        </w:tc>
        <w:tc>
          <w:tcPr>
            <w:tcW w:type="dxa" w:w="2160"/>
          </w:tcPr>
          <w:p>
            <w:r>
              <w:rPr>
                <w:rFonts w:ascii="Times New Roman" w:hAnsi="Times New Roman"/>
                <w:sz w:val="22"/>
              </w:rPr>
              <w:t>Gr</w:t>
            </w:r>
          </w:p>
        </w:tc>
        <w:tc>
          <w:tcPr>
            <w:tcW w:type="dxa" w:w="2160"/>
          </w:tcPr>
          <w:p>
            <w:r>
              <w:rPr>
                <w:rFonts w:ascii="Times New Roman" w:hAnsi="Times New Roman"/>
                <w:sz w:val="22"/>
              </w:rPr>
              <w:t>`Gr_L = (g β ΔT L^3) / ν^2`</w:t>
            </w:r>
          </w:p>
        </w:tc>
        <w:tc>
          <w:tcPr>
            <w:tcW w:type="dxa" w:w="2160"/>
          </w:tcPr>
          <w:p>
            <w:r>
              <w:rPr>
                <w:rFonts w:ascii="Times New Roman" w:hAnsi="Times New Roman"/>
                <w:sz w:val="22"/>
              </w:rPr>
              <w:t>Ratio of buoyancy to viscous forces. Key for predicting natural convection flows.</w:t>
            </w:r>
          </w:p>
        </w:tc>
      </w:tr>
      <w:tr>
        <w:tc>
          <w:tcPr>
            <w:tcW w:type="dxa" w:w="2160"/>
          </w:tcPr>
          <w:p>
            <w:r>
              <w:rPr>
                <w:rFonts w:ascii="Times New Roman" w:hAnsi="Times New Roman"/>
                <w:sz w:val="22"/>
              </w:rPr>
              <w:t>**Rayleigh Number**</w:t>
            </w:r>
          </w:p>
        </w:tc>
        <w:tc>
          <w:tcPr>
            <w:tcW w:type="dxa" w:w="2160"/>
          </w:tcPr>
          <w:p>
            <w:r>
              <w:rPr>
                <w:rFonts w:ascii="Times New Roman" w:hAnsi="Times New Roman"/>
                <w:sz w:val="22"/>
              </w:rPr>
              <w:t>Ra</w:t>
            </w:r>
          </w:p>
        </w:tc>
        <w:tc>
          <w:tcPr>
            <w:tcW w:type="dxa" w:w="2160"/>
          </w:tcPr>
          <w:p>
            <w:r>
              <w:rPr>
                <w:rFonts w:ascii="Times New Roman" w:hAnsi="Times New Roman"/>
                <w:sz w:val="22"/>
              </w:rPr>
              <w:t>`Ra_L = Gr_L Pr`</w:t>
            </w:r>
          </w:p>
        </w:tc>
        <w:tc>
          <w:tcPr>
            <w:tcW w:type="dxa" w:w="2160"/>
          </w:tcPr>
          <w:p>
            <w:r>
              <w:rPr>
                <w:rFonts w:ascii="Times New Roman" w:hAnsi="Times New Roman"/>
                <w:sz w:val="22"/>
              </w:rPr>
              <w:t>Product of Gr and Pr. The primary parameter for natural convection correlations.</w:t>
            </w:r>
          </w:p>
        </w:tc>
      </w:tr>
    </w:tbl>
    <w:p>
      <w:pPr>
        <w:jc w:val="both"/>
      </w:pPr>
      <w:r>
        <w:rPr>
          <w:rFonts w:ascii="Times New Roman" w:hAnsi="Times New Roman"/>
        </w:rPr>
        <w:t>*Variable Definitions for Table 2:* `h` is convective heat transfer coefficient (W/m²·K), `L` is characteristic length (m), `k_f` is fluid thermal conductivity (W/m·K), `ρ` is fluid density (kg/m³), `U` is bulk velocity (m/s), `μ` is dynamic viscosity (Pa·s), `ν` is kinematic viscosity (m²/s), `c_p` is specific heat (J/kg·K), `g` is gravitational acceleration (m/s²), `β` is thermal expansion coefficient (K⁻¹), and `ΔT` is temperature difference (K).</w:t>
      </w:r>
    </w:p>
    <w:p>
      <w:pPr>
        <w:pStyle w:val="Heading2"/>
      </w:pPr>
      <w:r>
        <w:rPr>
          <w:rFonts w:ascii="Times New Roman" w:hAnsi="Times New Roman"/>
          <w:color w:val="000000"/>
        </w:rPr>
        <w:t>5.0 Combined Modes and Overall Heat Transfer</w:t>
      </w:r>
    </w:p>
    <w:p>
      <w:pPr>
        <w:jc w:val="both"/>
      </w:pPr>
      <w:r>
        <w:rPr>
          <w:rFonts w:ascii="Times New Roman" w:hAnsi="Times New Roman"/>
        </w:rPr>
        <w:t>In practical engineering systems, multiple modes of heat transfer occur simultaneously. A common example is a heat exchanger wall: heat transfers from a hot fluid to the wall by convection, through the wall by conduction, and from the wall to a cold fluid by convection.</w:t>
      </w:r>
    </w:p>
    <w:p>
      <w:pPr>
        <w:jc w:val="both"/>
      </w:pPr>
      <w:r>
        <w:rPr>
          <w:rFonts w:ascii="Times New Roman" w:hAnsi="Times New Roman"/>
        </w:rPr>
        <w:t xml:space="preserve">To analyze such series heat transfer paths, the concept of </w:t>
      </w:r>
      <w:r>
        <w:rPr>
          <w:rFonts w:ascii="Times New Roman" w:hAnsi="Times New Roman"/>
          <w:b/>
        </w:rPr>
        <w:t>thermal resistance</w:t>
      </w:r>
      <w:r>
        <w:rPr>
          <w:rFonts w:ascii="Times New Roman" w:hAnsi="Times New Roman"/>
        </w:rPr>
        <w:t xml:space="preserve"> is employed, analogous to electrical resistance. The heat transfer rate is treated as a "current," driven by a temperature "potential difference."</w:t>
      </w:r>
    </w:p>
    <w:p>
      <w:pPr>
        <w:pStyle w:val="ListBullet"/>
        <w:jc w:val="both"/>
      </w:pPr>
      <w:r>
        <w:rPr>
          <w:rFonts w:ascii="Times New Roman" w:hAnsi="Times New Roman"/>
        </w:rPr>
        <w:t xml:space="preserve">  Conductive Resistance (plane wall): `R_cond = L / (k A)`</w:t>
      </w:r>
    </w:p>
    <w:p>
      <w:pPr>
        <w:pStyle w:val="ListBullet"/>
        <w:jc w:val="both"/>
      </w:pPr>
      <w:r>
        <w:rPr>
          <w:rFonts w:ascii="Times New Roman" w:hAnsi="Times New Roman"/>
        </w:rPr>
        <w:t xml:space="preserve">  Convective Resistance: `R_conv = 1 / (h A)`</w:t>
      </w:r>
    </w:p>
    <w:p>
      <w:pPr>
        <w:jc w:val="both"/>
      </w:pPr>
      <w:r>
        <w:rPr>
          <w:rFonts w:ascii="Times New Roman" w:hAnsi="Times New Roman"/>
        </w:rPr>
        <w:t>For a composite wall with fluid convection on both sides, the total thermal resistance is the sum of the individual resistances in series:</w:t>
      </w:r>
    </w:p>
    <w:p>
      <w:pPr>
        <w:jc w:val="both"/>
      </w:pPr>
      <w:r>
        <w:rPr>
          <w:rFonts w:ascii="Times New Roman" w:hAnsi="Times New Roman"/>
        </w:rPr>
        <w:t>`R_total = R_conv,1 + R_cond,1 + R_cond,2 + ... + R_conv,2`</w:t>
      </w:r>
    </w:p>
    <w:p>
      <w:pPr>
        <w:jc w:val="both"/>
      </w:pPr>
      <w:r>
        <w:rPr>
          <w:rFonts w:ascii="Times New Roman" w:hAnsi="Times New Roman"/>
        </w:rPr>
        <w:t>The overall heat transfer is then:</w:t>
      </w:r>
    </w:p>
    <w:p>
      <w:pPr>
        <w:jc w:val="both"/>
      </w:pPr>
      <w:r>
        <w:rPr>
          <w:rFonts w:ascii="Times New Roman" w:hAnsi="Times New Roman"/>
        </w:rPr>
        <w:t>`\dot{Q} = (T_∞,1 - T_∞,2) / R_total = U A ΔT_lm`</w:t>
      </w:r>
    </w:p>
    <w:p>
      <w:pPr>
        <w:pStyle w:val="ListBullet"/>
        <w:jc w:val="both"/>
      </w:pPr>
      <w:r>
        <w:rPr>
          <w:rFonts w:ascii="Times New Roman" w:hAnsi="Times New Roman"/>
        </w:rPr>
        <w:t xml:space="preserve">  **Variable Definitions:** `U` is the overall heat transfer coefficient (W/m²·K), and `ΔT_lm` is the appropriate mean temperature difference [citation:4].</w:t>
      </w:r>
    </w:p>
    <w:p>
      <w:pPr>
        <w:jc w:val="both"/>
      </w:pPr>
      <w:r>
        <w:rPr>
          <w:rFonts w:ascii="Times New Roman" w:hAnsi="Times New Roman"/>
        </w:rPr>
        <w:t>This resistance network method is fundamental to the design and analysis of heat exchangers, building insulation (U-value/R-value), and electronic packaging.</w:t>
      </w:r>
    </w:p>
    <w:p>
      <w:pPr>
        <w:pStyle w:val="Heading2"/>
      </w:pPr>
      <w:r>
        <w:rPr>
          <w:rFonts w:ascii="Times New Roman" w:hAnsi="Times New Roman"/>
          <w:color w:val="000000"/>
        </w:rPr>
        <w:t>6.0 Advanced Concepts and Phenomena</w:t>
      </w:r>
    </w:p>
    <w:p>
      <w:pPr>
        <w:pStyle w:val="Heading3"/>
      </w:pPr>
      <w:r>
        <w:rPr>
          <w:rFonts w:ascii="Times New Roman" w:hAnsi="Times New Roman"/>
          <w:color w:val="000000"/>
        </w:rPr>
        <w:t>6.1 Transient (Unsteady-State) Conduction</w:t>
      </w:r>
    </w:p>
    <w:p>
      <w:pPr>
        <w:jc w:val="both"/>
      </w:pPr>
      <w:r>
        <w:rPr>
          <w:rFonts w:ascii="Times New Roman" w:hAnsi="Times New Roman"/>
        </w:rPr>
        <w:t xml:space="preserve">When temperatures within a system change with time, the process is transient. The governing equation is the heat diffusion equation (a partial differential equation). A powerful simplifying tool is the </w:t>
      </w:r>
      <w:r>
        <w:rPr>
          <w:rFonts w:ascii="Times New Roman" w:hAnsi="Times New Roman"/>
          <w:b/>
        </w:rPr>
        <w:t>Lumped Capacitance Method</w:t>
      </w:r>
      <w:r>
        <w:rPr>
          <w:rFonts w:ascii="Times New Roman" w:hAnsi="Times New Roman"/>
        </w:rPr>
        <w:t>, applicable when internal conductive resistance is negligible compared to surface convective resistance. This condition is met when the Biot number `Bi = (h L_c)/k &lt; 0.1` [citation:2].</w:t>
      </w:r>
    </w:p>
    <w:p>
      <w:pPr>
        <w:jc w:val="both"/>
      </w:pPr>
      <w:r>
        <w:rPr>
          <w:rFonts w:ascii="Times New Roman" w:hAnsi="Times New Roman"/>
        </w:rPr>
        <w:t>For a lumped body cooling in a fluid, Newton's Law of Cooling leads to an exponential temperature decay:</w:t>
      </w:r>
    </w:p>
    <w:p>
      <w:pPr>
        <w:jc w:val="both"/>
      </w:pPr>
      <w:r>
        <w:rPr>
          <w:rFonts w:ascii="Times New Roman" w:hAnsi="Times New Roman"/>
        </w:rPr>
        <w:t>`(T(t) - T_∞) / (T_initial - T_∞) = exp[ - (h A_s / (ρ V c_p)) t ]` [citation:2][citation:7].</w:t>
      </w:r>
    </w:p>
    <w:p>
      <w:pPr>
        <w:pStyle w:val="ListBullet"/>
        <w:jc w:val="both"/>
      </w:pPr>
      <w:r>
        <w:rPr>
          <w:rFonts w:ascii="Times New Roman" w:hAnsi="Times New Roman"/>
        </w:rPr>
        <w:t xml:space="preserve">  **Variable Definitions:** `L_c` is the characteristic length (`V/A_s`) (m), `Bi` is the Biot number (dimensionless), `ρ` is density (kg/m³), `V` is volume (m³), and `t` is time (s).</w:t>
      </w:r>
    </w:p>
    <w:p>
      <w:pPr>
        <w:pStyle w:val="Heading3"/>
      </w:pPr>
      <w:r>
        <w:rPr>
          <w:rFonts w:ascii="Times New Roman" w:hAnsi="Times New Roman"/>
          <w:color w:val="000000"/>
        </w:rPr>
        <w:t>6.2 Phase Change Heat Transfer</w:t>
      </w:r>
    </w:p>
    <w:p>
      <w:pPr>
        <w:jc w:val="both"/>
      </w:pPr>
      <w:r>
        <w:rPr>
          <w:rFonts w:ascii="Times New Roman" w:hAnsi="Times New Roman"/>
        </w:rPr>
        <w:t>Processes like boiling and condensation involve latent heat and are characterized by extremely high effective heat transfer coefficients. The constant-temperature phase change introduces a moving boundary problem. These mechanisms are critical in steam power plants, refrigeration cycles, and advanced thermal management systems.</w:t>
      </w:r>
    </w:p>
    <w:p>
      <w:pPr>
        <w:pStyle w:val="Heading3"/>
      </w:pPr>
      <w:r>
        <w:rPr>
          <w:rFonts w:ascii="Times New Roman" w:hAnsi="Times New Roman"/>
          <w:color w:val="000000"/>
        </w:rPr>
        <w:t>6.3 Thermal Boundary Layer</w:t>
      </w:r>
    </w:p>
    <w:p>
      <w:pPr>
        <w:jc w:val="both"/>
      </w:pPr>
      <w:r>
        <w:rPr>
          <w:rFonts w:ascii="Times New Roman" w:hAnsi="Times New Roman"/>
        </w:rPr>
        <w:t>In convective flows, a thermal boundary layer develops over a surface, within which temperature gradients are concentrated. Its thickness is influenced by the flow velocity and fluid properties (Pr). The temperature gradient at the wall surface (`y=0`) directly determines the convective heat flux via Fourier's law: `q" = -k_f (∂T/∂y)|_y=0`.</w:t>
      </w:r>
    </w:p>
    <w:p>
      <w:pPr>
        <w:pStyle w:val="Heading2"/>
      </w:pPr>
      <w:r>
        <w:rPr>
          <w:rFonts w:ascii="Times New Roman" w:hAnsi="Times New Roman"/>
          <w:color w:val="000000"/>
        </w:rPr>
        <w:t>7.0 Applications and Implications</w:t>
      </w:r>
    </w:p>
    <w:p>
      <w:pPr>
        <w:jc w:val="both"/>
      </w:pPr>
      <w:r>
        <w:rPr>
          <w:rFonts w:ascii="Times New Roman" w:hAnsi="Times New Roman"/>
        </w:rPr>
        <w:t>The principles of heat transfer underpin technology and natural systems alike:</w:t>
      </w:r>
    </w:p>
    <w:p>
      <w:pPr>
        <w:pStyle w:val="ListBullet"/>
        <w:jc w:val="both"/>
      </w:pPr>
      <w:r>
        <w:rPr>
          <w:rFonts w:ascii="Times New Roman" w:hAnsi="Times New Roman"/>
        </w:rPr>
        <w:t xml:space="preserve">  **Energy Systems:** Power plant design (boilers, condensers, turbines) relies on maximizing heat transfer efficiency to convert thermal energy into work. Conversely, insulation minimizes parasitic heat loss. Solar thermal collectors use radiation absorption and conduction/convection to capture energy.</w:t>
      </w:r>
    </w:p>
    <w:p>
      <w:pPr>
        <w:pStyle w:val="ListBullet"/>
        <w:jc w:val="both"/>
      </w:pPr>
      <w:r>
        <w:rPr>
          <w:rFonts w:ascii="Times New Roman" w:hAnsi="Times New Roman"/>
        </w:rPr>
        <w:t xml:space="preserve">  **Electronics Thermal Management:** The relentless miniaturization of electronics has made heat dissipation a primary design constraint. Heat sinks (extended surfaces to enhance convection/radiation), thermal interface materials, and advanced cooling techniques (heat pipes, liquid cooling) are all applications of heat transfer principles to maintain junction temperatures within safe limits.</w:t>
      </w:r>
    </w:p>
    <w:p>
      <w:pPr>
        <w:pStyle w:val="ListBullet"/>
        <w:jc w:val="both"/>
      </w:pPr>
      <w:r>
        <w:rPr>
          <w:rFonts w:ascii="Times New Roman" w:hAnsi="Times New Roman"/>
        </w:rPr>
        <w:t xml:space="preserve">  **Building Science and HVAC:** The design of energy-efficient buildings revolves around controlling heat transfer. This involves selecting materials with appropriate `k`-values (insulation), managing air infiltration (convection), and considering window properties (conduction and radiation). Heating, ventilation, and air conditioning (HVAC) systems are essentially large-scale convective heat transfer systems.</w:t>
      </w:r>
    </w:p>
    <w:p>
      <w:pPr>
        <w:pStyle w:val="ListBullet"/>
        <w:jc w:val="both"/>
      </w:pPr>
      <w:r>
        <w:rPr>
          <w:rFonts w:ascii="Times New Roman" w:hAnsi="Times New Roman"/>
        </w:rPr>
        <w:t xml:space="preserve">  **Environmental and Earth Sciences:** The Earth's climate is governed by a global heat balance involving solar radiation (absorption, reflection), convective heat transfer in the atmosphere and oceans, and radiative heat loss to space. The greenhouse effect is a phenomenon where atmospheric gases selectively absorb and re-radiate infrared radiation, altering this balance.</w:t>
      </w:r>
    </w:p>
    <w:p>
      <w:pPr>
        <w:pStyle w:val="ListBullet"/>
        <w:jc w:val="both"/>
      </w:pPr>
      <w:r>
        <w:rPr>
          <w:rFonts w:ascii="Times New Roman" w:hAnsi="Times New Roman"/>
        </w:rPr>
        <w:t xml:space="preserve">  **Manufacturing:** Processes such as welding, casting, heat treatment, and additive manufacturing require precise control of thermal histories, governed by conduction and often radiation/convection boundary conditions.</w:t>
      </w:r>
    </w:p>
    <w:p>
      <w:pPr>
        <w:pStyle w:val="Heading2"/>
      </w:pPr>
      <w:r>
        <w:rPr>
          <w:rFonts w:ascii="Times New Roman" w:hAnsi="Times New Roman"/>
          <w:color w:val="000000"/>
        </w:rPr>
        <w:t>8.0 Conclusion</w:t>
      </w:r>
    </w:p>
    <w:p>
      <w:pPr>
        <w:jc w:val="both"/>
      </w:pPr>
      <w:r>
        <w:rPr>
          <w:rFonts w:ascii="Times New Roman" w:hAnsi="Times New Roman"/>
        </w:rPr>
        <w:t>This report has delineated the foundational framework of thermal heat interaction, from the governing thermodynamic laws to the three discrete modes of transfer—conduction, convection, and radiation—each with its characteristic mathematical formulation. The analysis of combined modes through thermal resistance networks and the treatment of transient effects via the Biot number and lumped capacitance method provide the essential tools for solving real-world engineering problems.</w:t>
      </w:r>
    </w:p>
    <w:p>
      <w:pPr>
        <w:jc w:val="both"/>
      </w:pPr>
      <w:r>
        <w:rPr>
          <w:rFonts w:ascii="Times New Roman" w:hAnsi="Times New Roman"/>
        </w:rPr>
        <w:t>The pervasive applications, from planetary-scale climate dynamics to the microscopic thermal management of a transistor chip, underscore the universal importance of the field. As global challenges related to energy efficiency, sustainable technology, and climate change intensify, the role of heat transfer science becomes ever more critical. Future advancements will likely focus on nanoscale thermal phenomena, innovative materials with tailored thermal properties (e.g., metamaterials, phase change materials), and the integration of high-fidelity computational modeling to design next-generation systems. Ultimately, the mastery of thermal heat interaction remains a cornerstone of technological progress and environmental stewardship.</w:t>
      </w:r>
    </w:p>
    <w:p>
      <w:pPr>
        <w:pStyle w:val="Heading2"/>
      </w:pPr>
      <w:r>
        <w:rPr>
          <w:rFonts w:ascii="Times New Roman" w:hAnsi="Times New Roman"/>
          <w:color w:val="000000"/>
        </w:rPr>
        <w:t>9.0 References</w:t>
      </w:r>
    </w:p>
    <w:p>
      <w:pPr>
        <w:pStyle w:val="ListNumber"/>
        <w:jc w:val="both"/>
      </w:pPr>
      <w:r>
        <w:rPr>
          <w:rFonts w:ascii="Times New Roman" w:hAnsi="Times New Roman"/>
        </w:rPr>
        <w:t>1.  Wikipedia contributors. "Thermal conduction." Wikipedia, The Free Encyclopedia. [citation:1]</w:t>
      </w:r>
    </w:p>
    <w:p>
      <w:pPr>
        <w:pStyle w:val="ListNumber"/>
        <w:jc w:val="both"/>
      </w:pPr>
      <w:r>
        <w:rPr>
          <w:rFonts w:ascii="Times New Roman" w:hAnsi="Times New Roman"/>
        </w:rPr>
        <w:t>2.  Wikipedia contributors. "Newton's law of cooling." Wikipedia, The Free Encyclopedia. [citation:2]</w:t>
      </w:r>
    </w:p>
    <w:p>
      <w:pPr>
        <w:pStyle w:val="ListNumber"/>
        <w:jc w:val="both"/>
      </w:pPr>
      <w:r>
        <w:rPr>
          <w:rFonts w:ascii="Times New Roman" w:hAnsi="Times New Roman"/>
        </w:rPr>
        <w:t>3.  Wikipedia contributors. "Stefan–Boltzmann law." Wikipedia, The Free Encyclopedia. [citation:3]</w:t>
      </w:r>
    </w:p>
    <w:p>
      <w:pPr>
        <w:pStyle w:val="ListNumber"/>
        <w:jc w:val="both"/>
      </w:pPr>
      <w:r>
        <w:rPr>
          <w:rFonts w:ascii="Times New Roman" w:hAnsi="Times New Roman"/>
        </w:rPr>
        <w:t>4.  Wikipedia contributors. "Heat transfer coefficient." Wikipedia, The Free Encyclopedia. [citation:4]</w:t>
      </w:r>
    </w:p>
    <w:p>
      <w:pPr>
        <w:pStyle w:val="ListNumber"/>
        <w:jc w:val="both"/>
      </w:pPr>
      <w:r>
        <w:rPr>
          <w:rFonts w:ascii="Times New Roman" w:hAnsi="Times New Roman"/>
        </w:rPr>
        <w:t>5.  Thermtest. "Materials Thermal Properties Database." Thermtest Inc. [citation:5]</w:t>
      </w:r>
    </w:p>
    <w:p>
      <w:pPr>
        <w:pStyle w:val="ListNumber"/>
        <w:jc w:val="both"/>
      </w:pPr>
      <w:r>
        <w:rPr>
          <w:rFonts w:ascii="Times New Roman" w:hAnsi="Times New Roman"/>
        </w:rPr>
        <w:t>6.  TEC-Science. "Thermal conductivity (Fourier's law)." TEC-Science. [citation:6]</w:t>
      </w:r>
    </w:p>
    <w:p>
      <w:pPr>
        <w:pStyle w:val="ListNumber"/>
        <w:jc w:val="both"/>
      </w:pPr>
      <w:r>
        <w:rPr>
          <w:rFonts w:ascii="Times New Roman" w:hAnsi="Times New Roman"/>
        </w:rPr>
        <w:t>7.  Quadco Engineering. "Newton's Law of Cooling." Quadco Engineering Knowledge Base. [citation:7]</w:t>
      </w:r>
    </w:p>
    <w:p>
      <w:pPr>
        <w:pStyle w:val="ListNumber"/>
        <w:jc w:val="both"/>
      </w:pPr>
      <w:r>
        <w:rPr>
          <w:rFonts w:ascii="Times New Roman" w:hAnsi="Times New Roman"/>
        </w:rPr>
        <w:t>8.  Nave, C.R. "Stefan-Boltzmann Law." HyperPhysics, Georgia State University. [citation:8]</w:t>
      </w:r>
    </w:p>
    <w:p>
      <w:pPr>
        <w:pStyle w:val="ListNumber"/>
        <w:jc w:val="both"/>
      </w:pPr>
      <w:r>
        <w:rPr>
          <w:rFonts w:ascii="Times New Roman" w:hAnsi="Times New Roman"/>
        </w:rPr>
        <w:t>9.  COMSOL. "Defining the Heat Transfer Coefficients." COMSOL Multiphysics® Documentation. [citation:9]</w:t>
      </w:r>
    </w:p>
    <w:p>
      <w:pPr>
        <w:jc w:val="both"/>
      </w:pPr>
      <w:r>
        <w:rPr>
          <w:rFonts w:ascii="Times New Roman" w:hAnsi="Times New Roman"/>
        </w:rPr>
        <w:t>10. Thermtest. "Heat Transfer - Definition, Methods and Equations." Thermtest Inc. [citation:10]</w:t>
      </w:r>
    </w:p>
    <w:p>
      <w:pPr>
        <w:jc w:val="both"/>
      </w:pPr>
      <w:r>
        <w:rPr>
          <w:rFonts w:ascii="Times New Roman" w:hAnsi="Times New Roman"/>
        </w:rPr>
        <w:t>I hope this comprehensive report meets your requirements. It provides a detailed technical foundation for understanding thermal heat interactions, complete with the requested mathematical formulations, comparative tables, and extensive application contexts. Is there a specific section of the report you would like to explore in greater detail, or perhaps a particular application area you're interested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