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2A5C"/>
          <w:sz w:val="44"/>
          <w:szCs w:val="44"/>
        </w:rPr>
        <w:t xml:space="preserve">NIKE SALES INSIGHTS REPORT</w:t>
      </w:r>
    </w:p>
    <w:p>
      <w:pPr>
        <w:pBdr>
          <w:bottom w:val="single" w:color="1F2A5C" w:sz="8" w:space="6"/>
        </w:pBdr>
        <w:spacing w:after="240"/>
        <w:jc w:val="center"/>
      </w:pPr>
      <w:r>
        <w:rPr>
          <w:color w:val="555555"/>
          <w:sz w:val="24"/>
          <w:szCs w:val="24"/>
        </w:rPr>
        <w:t xml:space="preserve">Dashboard overview, data summary and key findings</w:t>
      </w:r>
    </w:p>
    <w:p>
      <w:pPr>
        <w:pStyle w:val="Heading1"/>
      </w:pPr>
      <w:r>
        <w:t xml:space="preserve">1. Dashboard</w:t>
      </w:r>
    </w:p>
    <w:p>
      <w:pPr>
        <w:spacing w:after="120"/>
      </w:pPr>
      <w:r>
        <w:t xml:space="preserve">The dashboard has two pages. Page 1 covers profit, revenue, region, channel, size and unit contribution. Page 2 covers order-level flags (profit, revenue, discount) and discount by product line.</w:t>
      </w:r>
    </w:p>
    <w:p>
      <w:pPr>
        <w:pStyle w:val="Heading2"/>
      </w:pPr>
      <w:r>
        <w:t xml:space="preserve">Dashboard Page 1 – Sales Performance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Dashboard-1.jpeg" descr="Dashboard-1.jpeg" title="Dashboard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Dashboard Page 2 – Order Flags &amp; Discounts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ashboard-2.jpeg" descr="Dashboard-2.jpeg" title="Dashboard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Data Summary</w:t>
      </w:r>
    </w:p>
    <w:p>
      <w:pPr>
        <w:spacing w:after="120"/>
      </w:pPr>
      <w:r>
        <w:t xml:space="preserve">Source: Nike_Sales_Cleaned.xlsx (Sheet1) – 100 order records and 16 columns: Order_ID, Gender_Category, Product_Line, Product_Name, Size, Units_Sold, MRP, Discount_Applied, Revenue, Order_Date, Sales_Channel, Region, Profit, Profit Flag, Discount Flag and Revenue Flag. There are no blank cells. Currency values are shown as recorded in the file.</w:t>
      </w:r>
    </w:p>
    <w:p>
      <w:pPr>
        <w:pStyle w:val="Heading2"/>
      </w:pPr>
      <w:r>
        <w:t xml:space="preserve">Key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orders (rows)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units sold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170 (12 rows have returns / negative units)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33,666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113,107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MRP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6,255.52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discount applied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channels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(55 orders), Retail (45 orders)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(Bangalore, Delhi, Hyderabad, Kolkata, Mumbai, Pune)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lines / products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lines / 20 products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date range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2023 – Nov 2025 (27 orders have no date)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By gender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Kids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11,841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48,327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1,224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20,601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30,680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By product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5,500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34,146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Basketball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15,101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23,523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Soccer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2,515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19,384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-2,579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18,339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13,129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17,715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By sales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9,134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65,778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24,532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47,329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980"/>
        <w:gridCol w:w="19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20,031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30,953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24,740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2,515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23,777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Mumbai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6,619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12,731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Kolkata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12,698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4,501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8,208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Flag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Flag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Profitable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Flag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Revenue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Revenue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Debt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 Flag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Discount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Discount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Discount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Data quality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27 of 100 orders have no order date (“Not Present”) and 18 have the size “Not Assigned”.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rows have negative Units_Sold (likely returns), and 4 Order_IDs appear more than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is 0 for 92 of 100 orders, so revenue-based views depend on very few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Size mixes apparel sizes (M, L, XL) and shoe sizes (6–12) in one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Important: </w:t>
      </w:r>
      <w:r>
        <w:t xml:space="preserve">The Excel file has 100 orders and about 34K total revenue, whereas the dashboard shows about 2.5K orders and 687K revenue. The dashboard was therefore built on a larger dataset, and the Excel file appears to be a sample of it. Dashboard figures are quoted from the images; Excel figures come from the file. The two are not directly comparable in absolute terms, but their proportions are very similar.</w:t>
      </w:r>
    </w:p>
    <w:p>
      <w:pPr>
        <w:pStyle w:val="Heading1"/>
      </w:pPr>
      <w:r>
        <w:t xml:space="preserve">3. Key Insights</w:t>
      </w:r>
    </w:p>
    <w:p>
      <w:pPr>
        <w:pStyle w:val="Heading2"/>
      </w:pPr>
      <w:r>
        <w:t xml:space="preserve">Profit and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Profit is evenly spread across genders: </w:t>
      </w:r>
      <w:r>
        <w:t xml:space="preserve">Women, Kids and Men each bring in roughly 1.1–1.2M in profit on the dashboard, with Women slightly ahead. In the Excel sample, Kids lead on profit (48.3K) and Men are third.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is the top revenue line: </w:t>
      </w:r>
      <w:r>
        <w:t xml:space="preserve">It generates 196K, followed by Basketball (155K), Lifestyle (149K), Soccer (115K) and Running (72K). Running earns about 63% less than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is the weakest line: </w:t>
      </w:r>
      <w:r>
        <w:t xml:space="preserve">It has the lowest revenue on the dashboard and is the only line with negative revenue (-2.6K) in the Excel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also leads on profit in the sample: </w:t>
      </w:r>
      <w:r>
        <w:t xml:space="preserve">Training earns 34.1K, about 30% of total profit, from the largest number of orders (28).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Online generates more revenue than Retail: </w:t>
      </w:r>
      <w:r>
        <w:t xml:space="preserve">Online contributes 378.18K (55.03%) of the 687.18K total revenue and Retail 309K (44.97%).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Retail is stronger per order in the sample: </w:t>
      </w:r>
      <w:r>
        <w:t xml:space="preserve">Retail brings in 24.5K of revenue from 45 orders, against 9.1K from 55 Online orders, but Online earns more profit (65.8K vs 47.3K).</w:t>
      </w:r>
    </w:p>
    <w:p>
      <w:pPr>
        <w:pStyle w:val="Heading2"/>
      </w:pPr>
      <w:r>
        <w:t xml:space="preserve">Regions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Regional profit is balanced: </w:t>
      </w:r>
      <w:r>
        <w:t xml:space="preserve">All six regions fall between 15.3% and 18.0% of profit. Bangalore leads (621.95K), then Kolkata (602.86K) and Delhi (587.15K). Hyderabad is lowest (525.09K).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narrow gap means no region is a clear weak spot, </w:t>
      </w:r>
      <w:r>
        <w:t xml:space="preserve">so growth is likely to come from improving individual product lines or channels rather than from one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Pune is the revenue standout in the sample: </w:t>
      </w:r>
      <w:r>
        <w:t xml:space="preserve">It holds 20.0K of the 33.7K total revenue and the highest profit (31.0K).</w:t>
      </w:r>
    </w:p>
    <w:p>
      <w:pPr>
        <w:pStyle w:val="Heading2"/>
      </w:pPr>
      <w:r>
        <w:t xml:space="preserve">Units and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 sales are evenly split across product lines: </w:t>
      </w:r>
      <w:r>
        <w:t xml:space="preserve">Training sells the most (943 units, 21.7%) and Running the least (797 units, 18.34%).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Running sells fewer units and earns the least revenue, </w:t>
      </w:r>
      <w:r>
        <w:t xml:space="preserve">so improving demand or pricing for Running is the clearest opportunity.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Apparel-style sizes dominate: </w:t>
      </w:r>
      <w:r>
        <w:t xml:space="preserve">“Not Assigned”, L, XL and M each sell roughly 850–890 units, while each individual shoe size (6–12) sells only about 100–160.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large “Not Assigned” size group is a data gap: </w:t>
      </w:r>
      <w:r>
        <w:t xml:space="preserve">It is among the top sellers, so size-level analysis is incomplete until it is filled in.</w:t>
      </w:r>
    </w:p>
    <w:p>
      <w:pPr>
        <w:pStyle w:val="Heading2"/>
      </w:pPr>
      <w:r>
        <w:t xml:space="preserve">Orders, profit and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Most orders are profitable: </w:t>
      </w:r>
      <w:r>
        <w:t xml:space="preserve">About 1.92K of 2.5K orders (76.88%) are profitable and 0.58K (23.12%) make a loss. The Excel sample shows the same pattern (74 vs 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Units follow the same pattern: </w:t>
      </w:r>
      <w:r>
        <w:t xml:space="preserve">3.33K units (76.59%) are sold in profitable orders and 1.02K (23.41%) in loss-making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Loss-making orders carry heavier discounts in the sample: </w:t>
      </w:r>
      <w:r>
        <w:t xml:space="preserve">They account for 26% of orders but 27% of total discount applied, and their profit is -16.4K versus 129.5K for profitable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Profit comes almost entirely from orders flagged “No Revenue”: </w:t>
      </w:r>
      <w:r>
        <w:t xml:space="preserve">They hold 3.23M (93.85%) of profit, which suggests the revenue field is incomplete or not recorded for most orders.</w:t>
      </w:r>
    </w:p>
    <w:p>
      <w:pPr>
        <w:pStyle w:val="Heading2"/>
      </w:pPr>
      <w:r>
        <w:t xml:space="preserve">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Almost all orders carry a low discount: </w:t>
      </w:r>
      <w:r>
        <w:t xml:space="preserve">87.44% are Low Discount, 7.2% are High and 5.36% are Medium.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Discounting is similar across product lines: </w:t>
      </w:r>
      <w:r>
        <w:t xml:space="preserve">Training has the highest total discount applied (338.59, 21.49%), and Soccer and Running the lowest (about 299, 19%).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combines the highest discount and the highest revenue, </w:t>
      </w:r>
      <w:r>
        <w:t xml:space="preserve">which makes it the best line to test whether lighter discounting can protect margin.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discounts are rare, so their effect is limited: </w:t>
      </w:r>
      <w:r>
        <w:t xml:space="preserve">The six High Discount orders in the sample earned about 2.6K profit and negative revenue.</w:t>
      </w:r>
    </w:p>
    <w:p>
      <w:pPr>
        <w:pStyle w:val="Heading1"/>
      </w:pPr>
      <w:r>
        <w:t xml:space="preserve">4.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Prioritise Training and Basketball </w:t>
      </w:r>
      <w:r>
        <w:t xml:space="preserve">for stock and promotion, as they lead on revenue and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Running </w:t>
      </w:r>
      <w:r>
        <w:t xml:space="preserve">pricing, range and discounting, as it is the lowest-earning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Investigate loss-making orders </w:t>
      </w:r>
      <w:r>
        <w:t xml:space="preserve">(about 23–26% of orders) by checking discount level, product and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growing Online </w:t>
      </w:r>
      <w:r>
        <w:t xml:space="preserve">while looking at what makes Retail orders more valuable.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data quality: </w:t>
      </w:r>
      <w:r>
        <w:t xml:space="preserve">fill in missing dates and sizes, remove duplicate Order_IDs, and confirm how revenue is recorded so that “No Revenue” stops dominating the analysis.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Nike Sales Insights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2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5ca2fe0002abdaf60af3867ed07d3271547703.jpg"/><Relationship Id="rId9" Type="http://schemas.openxmlformats.org/officeDocument/2006/relationships/image" Target="media/c91c0d7d390a4ab373e72ada09a77c266c0348b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2026-10-27T17:35:57.411Z</dcterms:created>
  <dcterms:modified xsi:type="dcterms:W3CDTF">2026-10-27T17:35:57.415Z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