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2EF" w:rsidRPr="00602C0D" w:rsidRDefault="004969F6" w:rsidP="005542EF">
      <w:pPr>
        <w:pStyle w:val="NormalWeb"/>
        <w:rPr>
          <w:sz w:val="22"/>
          <w:szCs w:val="22"/>
        </w:rPr>
      </w:pPr>
      <w:r w:rsidRPr="00602C0D">
        <w:rPr>
          <w:rStyle w:val="lev"/>
          <w:sz w:val="22"/>
          <w:szCs w:val="22"/>
        </w:rPr>
        <w:t xml:space="preserve">Application, challenges, and perspectives in farm-to-fork </w:t>
      </w:r>
      <w:r>
        <w:rPr>
          <w:rStyle w:val="lev"/>
          <w:sz w:val="22"/>
          <w:szCs w:val="22"/>
        </w:rPr>
        <w:t>QMRA</w:t>
      </w:r>
      <w:r w:rsidRPr="00602C0D">
        <w:rPr>
          <w:rStyle w:val="lev"/>
          <w:sz w:val="22"/>
          <w:szCs w:val="22"/>
        </w:rPr>
        <w:t xml:space="preserve"> modelling: </w:t>
      </w:r>
      <w:r w:rsidR="00C3744B">
        <w:rPr>
          <w:rStyle w:val="lev"/>
          <w:sz w:val="22"/>
          <w:szCs w:val="22"/>
        </w:rPr>
        <w:t>NAMs</w:t>
      </w:r>
      <w:bookmarkStart w:id="0" w:name="_GoBack"/>
      <w:bookmarkEnd w:id="0"/>
      <w:r w:rsidRPr="00602C0D">
        <w:rPr>
          <w:rStyle w:val="lev"/>
          <w:sz w:val="22"/>
          <w:szCs w:val="22"/>
        </w:rPr>
        <w:t xml:space="preserve"> for foodborne risk management and policy making</w:t>
      </w:r>
      <w:r w:rsidR="00C27820">
        <w:rPr>
          <w:rStyle w:val="lev"/>
          <w:sz w:val="22"/>
          <w:szCs w:val="22"/>
        </w:rPr>
        <w:t>.</w:t>
      </w:r>
    </w:p>
    <w:p w:rsidR="005542EF" w:rsidRPr="00602C0D" w:rsidRDefault="005542EF" w:rsidP="005542EF">
      <w:pPr>
        <w:pStyle w:val="NormalWeb"/>
        <w:rPr>
          <w:sz w:val="22"/>
          <w:szCs w:val="22"/>
        </w:rPr>
      </w:pPr>
      <w:r w:rsidRPr="00602C0D">
        <w:rPr>
          <w:sz w:val="22"/>
          <w:szCs w:val="22"/>
        </w:rPr>
        <w:t>Quantitative Microbial Risk Assessment (QMRA) is an integrative framework combining predictive microbiology, probabilistic modeling, and epidemiological data to estimate public health risks from microbiological hazards in food. Farm-to-fork QMRA models describe the evolution, transmission, and fate of pathogens (e.g., bacteria, fungi) across the entire food chain, from production to the consumer’s plate. By linking exposure assessments with dose–response relationships, these models help risk managers translate the effects of unsafe food consumption into health burden metrics, such as disability-adjusted life years (DALYs), and design evidence-based food safety policies. Suitably calibrated QMRA models also allow testing, replicating, and extrapolating intervention scenarios applied along the farm-to-fork chain, which are otherwise costly and time-consuming to trial. Additionally, QMRA models are indispensable for date-marking, shelf-life studies, and for identifying influential production parameters through sensitivity analyses.</w:t>
      </w:r>
      <w:r w:rsidRPr="00602C0D">
        <w:rPr>
          <w:sz w:val="22"/>
          <w:szCs w:val="22"/>
        </w:rPr>
        <w:t xml:space="preserve"> </w:t>
      </w:r>
      <w:r w:rsidRPr="00602C0D">
        <w:rPr>
          <w:sz w:val="22"/>
          <w:szCs w:val="22"/>
        </w:rPr>
        <w:t>Despite these applications, developing robust farm-to-fork QMRAs remains challenging. First, experimental validation is difficult because population-scale food consumption trials are rarely reproducible or ethically feasible, posing reliability issues for predictive purposes. Second, parameter estimation is often limited by sparse or uncertain data, while a large number of parameters is required for realistic models. Third, although uncertainties can be partially quantified at the producer or farm level, extrapolating these to industrial-scale processing remains complex. Finally, selecting risk metrics (e.g., quantile-based rather than averages) and linking them to public health indicators is non-trivial.</w:t>
      </w:r>
      <w:r w:rsidRPr="00602C0D">
        <w:rPr>
          <w:sz w:val="22"/>
          <w:szCs w:val="22"/>
        </w:rPr>
        <w:t xml:space="preserve"> </w:t>
      </w:r>
      <w:r w:rsidRPr="00602C0D">
        <w:rPr>
          <w:sz w:val="22"/>
          <w:szCs w:val="22"/>
        </w:rPr>
        <w:t xml:space="preserve">This work discusses the applications, limitations, and perspectives of QMRA in the farm-to-fork framework, aligned with the future of food safety through the integration of New Approach Methodologies (NAMs). Two case studies illustrate these challenges and opportunities: (1) QMRA for French raw milk soft cheeses involving </w:t>
      </w:r>
      <w:r w:rsidRPr="00602C0D">
        <w:rPr>
          <w:rStyle w:val="Accentuation"/>
          <w:sz w:val="22"/>
          <w:szCs w:val="22"/>
        </w:rPr>
        <w:t>Salmonella</w:t>
      </w:r>
      <w:r w:rsidRPr="00602C0D">
        <w:rPr>
          <w:sz w:val="22"/>
          <w:szCs w:val="22"/>
        </w:rPr>
        <w:t xml:space="preserve">, </w:t>
      </w:r>
      <w:r w:rsidRPr="00602C0D">
        <w:rPr>
          <w:rStyle w:val="Accentuation"/>
          <w:sz w:val="22"/>
          <w:szCs w:val="22"/>
        </w:rPr>
        <w:t>Listeria monocytogenes</w:t>
      </w:r>
      <w:r w:rsidRPr="00602C0D">
        <w:rPr>
          <w:sz w:val="22"/>
          <w:szCs w:val="22"/>
        </w:rPr>
        <w:t xml:space="preserve">, and pathogenic </w:t>
      </w:r>
      <w:r w:rsidRPr="00602C0D">
        <w:rPr>
          <w:rStyle w:val="Accentuation"/>
          <w:sz w:val="22"/>
          <w:szCs w:val="22"/>
        </w:rPr>
        <w:t>Escherichia coli</w:t>
      </w:r>
      <w:r w:rsidRPr="00602C0D">
        <w:rPr>
          <w:sz w:val="22"/>
          <w:szCs w:val="22"/>
        </w:rPr>
        <w:t xml:space="preserve"> (</w:t>
      </w:r>
      <w:r w:rsidR="0036547E" w:rsidRPr="00602C0D">
        <w:rPr>
          <w:sz w:val="22"/>
          <w:szCs w:val="22"/>
        </w:rPr>
        <w:t>Basak, 2024</w:t>
      </w:r>
      <w:r w:rsidRPr="00602C0D">
        <w:rPr>
          <w:sz w:val="22"/>
          <w:szCs w:val="22"/>
        </w:rPr>
        <w:t xml:space="preserve">); and (2) modeling antimicrobial-resistant (AMR) </w:t>
      </w:r>
      <w:r w:rsidRPr="00602C0D">
        <w:rPr>
          <w:rStyle w:val="Accentuation"/>
          <w:sz w:val="22"/>
          <w:szCs w:val="22"/>
        </w:rPr>
        <w:t>E. coli</w:t>
      </w:r>
      <w:r w:rsidRPr="00602C0D">
        <w:rPr>
          <w:sz w:val="22"/>
          <w:szCs w:val="22"/>
        </w:rPr>
        <w:t xml:space="preserve"> in poultry production systems. These examples highlight how NAMs, including advanced computational modeling, data-sharing platforms, and probabilistic frameworks, can strengthen the scientific basis of QMRAs and enhance risk managers’ capacity to make informed, transparent decisions.</w:t>
      </w:r>
    </w:p>
    <w:p w:rsidR="00A525A4" w:rsidRPr="00602C0D" w:rsidRDefault="0036547E">
      <w:pPr>
        <w:rPr>
          <w:rFonts w:ascii="Times New Roman" w:hAnsi="Times New Roman" w:cs="Times New Roman"/>
        </w:rPr>
      </w:pPr>
      <w:r w:rsidRPr="00602C0D">
        <w:rPr>
          <w:rFonts w:ascii="Times New Roman" w:hAnsi="Times New Roman" w:cs="Times New Roman"/>
        </w:rPr>
        <w:t>Reference:</w:t>
      </w:r>
    </w:p>
    <w:p w:rsidR="0036547E" w:rsidRPr="00602C0D" w:rsidRDefault="0036547E">
      <w:pPr>
        <w:rPr>
          <w:rFonts w:ascii="Times New Roman" w:hAnsi="Times New Roman" w:cs="Times New Roman"/>
        </w:rPr>
      </w:pPr>
      <w:r w:rsidRPr="00602C0D">
        <w:rPr>
          <w:rFonts w:ascii="Times New Roman" w:hAnsi="Times New Roman" w:cs="Times New Roman"/>
        </w:rPr>
        <w:t>Subhasish Basak. Multipathogen quantitative risk ass</w:t>
      </w:r>
      <w:r w:rsidR="00172758">
        <w:rPr>
          <w:rFonts w:ascii="Times New Roman" w:hAnsi="Times New Roman" w:cs="Times New Roman"/>
        </w:rPr>
        <w:t>essment in raw milk soft cheese,</w:t>
      </w:r>
      <w:r w:rsidRPr="00602C0D">
        <w:rPr>
          <w:rFonts w:ascii="Times New Roman" w:hAnsi="Times New Roman" w:cs="Times New Roman"/>
        </w:rPr>
        <w:t xml:space="preserve"> monotone integration and Bayesian optimization. Machine Learning [stat.ML]. Université Paris-Saclay, 2024. English. NNT: 2024UPASG021</w:t>
      </w:r>
      <w:r w:rsidRPr="00602C0D">
        <w:rPr>
          <w:rFonts w:ascii="Times New Roman" w:hAnsi="Times New Roman" w:cs="Times New Roman"/>
        </w:rPr>
        <w:t>.</w:t>
      </w:r>
    </w:p>
    <w:sectPr w:rsidR="0036547E" w:rsidRPr="00602C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440"/>
    <w:rsid w:val="00172758"/>
    <w:rsid w:val="0036547E"/>
    <w:rsid w:val="004969F6"/>
    <w:rsid w:val="005542EF"/>
    <w:rsid w:val="00571440"/>
    <w:rsid w:val="00602C0D"/>
    <w:rsid w:val="00A525A4"/>
    <w:rsid w:val="00C27820"/>
    <w:rsid w:val="00C3744B"/>
    <w:rsid w:val="00D51E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3A83"/>
  <w15:chartTrackingRefBased/>
  <w15:docId w15:val="{1817612C-4AFD-4685-B03F-A361C10AF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542E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5542EF"/>
    <w:rPr>
      <w:b/>
      <w:bCs/>
    </w:rPr>
  </w:style>
  <w:style w:type="character" w:styleId="Accentuation">
    <w:name w:val="Emphasis"/>
    <w:basedOn w:val="Policepardfaut"/>
    <w:uiPriority w:val="20"/>
    <w:qFormat/>
    <w:rsid w:val="005542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39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359</Words>
  <Characters>2507</Characters>
  <Application>Microsoft Office Word</Application>
  <DocSecurity>0</DocSecurity>
  <Lines>31</Lines>
  <Paragraphs>4</Paragraphs>
  <ScaleCrop>false</ScaleCrop>
  <Company>ANSES</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BASAK Subhasish</dc:creator>
  <cp:keywords/>
  <dc:description/>
  <cp:lastModifiedBy>BASAK Subhasish</cp:lastModifiedBy>
  <cp:revision>11</cp:revision>
  <dcterms:created xsi:type="dcterms:W3CDTF">2025-06-29T14:07:00Z</dcterms:created>
  <dcterms:modified xsi:type="dcterms:W3CDTF">2025-06-29T14:24:00Z</dcterms:modified>
</cp:coreProperties>
</file>