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 — Dataset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Organism</w:t>
            </w:r>
          </w:p>
        </w:tc>
        <w:tc>
          <w:tcPr>
            <w:tcW w:type="dxa" w:w="4320"/>
          </w:tcPr>
          <w:p>
            <w:r>
              <w:t>Acinetobacter baumannii</w:t>
            </w:r>
          </w:p>
        </w:tc>
      </w:tr>
      <w:tr>
        <w:tc>
          <w:tcPr>
            <w:tcW w:type="dxa" w:w="4320"/>
          </w:tcPr>
          <w:p>
            <w:r>
              <w:t>SRA Accession</w:t>
            </w:r>
          </w:p>
        </w:tc>
        <w:tc>
          <w:tcPr>
            <w:tcW w:type="dxa" w:w="4320"/>
          </w:tcPr>
          <w:p>
            <w:r>
              <w:t>SRR5891469</w:t>
            </w:r>
          </w:p>
        </w:tc>
      </w:tr>
      <w:tr>
        <w:tc>
          <w:tcPr>
            <w:tcW w:type="dxa" w:w="4320"/>
          </w:tcPr>
          <w:p>
            <w:r>
              <w:t>Sequencing Platform</w:t>
            </w:r>
          </w:p>
        </w:tc>
        <w:tc>
          <w:tcPr>
            <w:tcW w:type="dxa" w:w="4320"/>
          </w:tcPr>
          <w:p>
            <w:r>
              <w:t>Illumina HiSeq 2500</w:t>
            </w:r>
          </w:p>
        </w:tc>
      </w:tr>
      <w:tr>
        <w:tc>
          <w:tcPr>
            <w:tcW w:type="dxa" w:w="4320"/>
          </w:tcPr>
          <w:p>
            <w:r>
              <w:t>Reference Genome</w:t>
            </w:r>
          </w:p>
        </w:tc>
        <w:tc>
          <w:tcPr>
            <w:tcW w:type="dxa" w:w="4320"/>
          </w:tcPr>
          <w:p>
            <w:r>
              <w:t>NZ_CP045110.1</w:t>
            </w:r>
          </w:p>
        </w:tc>
      </w:tr>
      <w:tr>
        <w:tc>
          <w:tcPr>
            <w:tcW w:type="dxa" w:w="4320"/>
          </w:tcPr>
          <w:p>
            <w:r>
              <w:t>Genome Size</w:t>
            </w:r>
          </w:p>
        </w:tc>
        <w:tc>
          <w:tcPr>
            <w:tcW w:type="dxa" w:w="4320"/>
          </w:tcPr>
          <w:p>
            <w:r>
              <w:t>3.98 Mb</w:t>
            </w:r>
          </w:p>
        </w:tc>
      </w:tr>
      <w:tr>
        <w:tc>
          <w:tcPr>
            <w:tcW w:type="dxa" w:w="4320"/>
          </w:tcPr>
          <w:p>
            <w:r>
              <w:t>Analysis Pipeline</w:t>
            </w:r>
          </w:p>
        </w:tc>
        <w:tc>
          <w:tcPr>
            <w:tcW w:type="dxa" w:w="4320"/>
          </w:tcPr>
          <w:p>
            <w:r>
              <w:t>FastQC, FastP, BWA-MEM, SAMtools, BCFtools, Prokka, ABRicate, SWISS-MODEL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