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7991" w14:textId="77777777" w:rsidR="00C60ED7" w:rsidRDefault="00000000">
      <w:pPr>
        <w:pStyle w:val="Heading1"/>
      </w:pPr>
      <w:r>
        <w:t>2. Materials and Methods</w:t>
      </w:r>
    </w:p>
    <w:p w14:paraId="6F7E9906" w14:textId="77777777" w:rsidR="00C60ED7" w:rsidRDefault="00000000">
      <w:pPr>
        <w:pStyle w:val="Heading2"/>
      </w:pPr>
      <w:r>
        <w:t>2.1 Dataset Retrieval</w:t>
      </w:r>
    </w:p>
    <w:p w14:paraId="66C16401" w14:textId="77777777" w:rsidR="00C60ED7" w:rsidRDefault="00000000">
      <w:r>
        <w:t>Whole-genome sequencing data of Acinetobacter baumannii SRR5891469 were obtained from the National Center for Biotechnology Information (NCBI) Sequence Read Archive (SRA). The sequencing dataset was generated using the Illumina HiSeq 2500 platform. The complete reference genome NZ_CP045110.1 was downloaded from the NCBI Genome database and used as the reference sequence for downstream analyses.</w:t>
      </w:r>
    </w:p>
    <w:p w14:paraId="242658B3" w14:textId="77777777" w:rsidR="00C60ED7" w:rsidRDefault="00000000">
      <w:pPr>
        <w:pStyle w:val="Heading2"/>
      </w:pPr>
      <w:r>
        <w:t>2.2 Quality Assessment and Read Processing</w:t>
      </w:r>
    </w:p>
    <w:p w14:paraId="6E2598CD" w14:textId="77777777" w:rsidR="00C60ED7" w:rsidRDefault="00000000">
      <w:r>
        <w:t>Raw sequencing reads were evaluated using FastQC to assess sequence quality, GC content, adapter contamination, and read distribution. Low-quality bases and adapter sequences were removed using FastP to obtain high-quality reads for downstream analyses.</w:t>
      </w:r>
    </w:p>
    <w:p w14:paraId="3363DF25" w14:textId="77777777" w:rsidR="00C60ED7" w:rsidRDefault="00000000">
      <w:pPr>
        <w:pStyle w:val="Heading2"/>
      </w:pPr>
      <w:r>
        <w:t>2.3 Read Alignment and Variant Calling</w:t>
      </w:r>
    </w:p>
    <w:p w14:paraId="19744CDC" w14:textId="77777777" w:rsidR="00C60ED7" w:rsidRDefault="00000000">
      <w:r>
        <w:t>Filtered reads were aligned against the reference genome NZ_CP045110.1 using BWA-MEM. The resulting alignment files were processed using SAMtools for sorting and indexing. Variant calling was performed using BCFtools to identify single nucleotide polymorphisms (SNPs) and insertion/deletion mutations (indels).</w:t>
      </w:r>
    </w:p>
    <w:p w14:paraId="1DB5532A" w14:textId="77777777" w:rsidR="00C60ED7" w:rsidRDefault="00000000">
      <w:pPr>
        <w:pStyle w:val="Heading2"/>
      </w:pPr>
      <w:r>
        <w:t>2.4 Genome Annotation</w:t>
      </w:r>
    </w:p>
    <w:p w14:paraId="5044316C" w14:textId="77777777" w:rsidR="00C60ED7" w:rsidRDefault="00000000">
      <w:r>
        <w:t>Genome annotation was performed using Prokka to identify coding sequences (CDSs), transfer RNA genes (tRNAs), ribosomal RNA genes (rRNAs), and other genomic features.</w:t>
      </w:r>
    </w:p>
    <w:p w14:paraId="6328DACB" w14:textId="77777777" w:rsidR="00C60ED7" w:rsidRDefault="00000000">
      <w:pPr>
        <w:pStyle w:val="Heading2"/>
      </w:pPr>
      <w:r>
        <w:t>2.5 Antimicrobial Resistance Gene Identification</w:t>
      </w:r>
    </w:p>
    <w:p w14:paraId="315E806E" w14:textId="77777777" w:rsidR="00C60ED7" w:rsidRDefault="00000000">
      <w:r>
        <w:t>Antimicrobial resistance determinants were identified using ABRicate against the Comprehensive Antibiotic Resistance Database (CARD) and NCBI AMR databases.</w:t>
      </w:r>
    </w:p>
    <w:p w14:paraId="1171B7E8" w14:textId="77777777" w:rsidR="00C60ED7" w:rsidRDefault="00000000">
      <w:pPr>
        <w:pStyle w:val="Heading2"/>
      </w:pPr>
      <w:r>
        <w:t>2.6 Virulence Factor Identification</w:t>
      </w:r>
    </w:p>
    <w:p w14:paraId="52A8FEBF" w14:textId="77777777" w:rsidR="00C60ED7" w:rsidRDefault="00000000">
      <w:r>
        <w:t>Virulence-associated genes were identified using ABRicate against the Virulence Factor Database (VFDB).</w:t>
      </w:r>
    </w:p>
    <w:p w14:paraId="3841B975" w14:textId="77777777" w:rsidR="00C60ED7" w:rsidRDefault="00000000">
      <w:pPr>
        <w:pStyle w:val="Heading2"/>
      </w:pPr>
      <w:r>
        <w:t>2.7 OXA-23 Mutation Analysis</w:t>
      </w:r>
    </w:p>
    <w:p w14:paraId="4C748FB3" w14:textId="77777777" w:rsidR="00C60ED7" w:rsidRDefault="00000000">
      <w:r>
        <w:t>The OXA-23 gene sequence was extracted from the annotated genome. Mutations were identified through comparative sequence analysis and validated using Integrative Genomics Viewer (IGV).</w:t>
      </w:r>
    </w:p>
    <w:p w14:paraId="2EB9A9D5" w14:textId="77777777" w:rsidR="00C60ED7" w:rsidRDefault="00000000">
      <w:pPr>
        <w:pStyle w:val="Heading2"/>
      </w:pPr>
      <w:r>
        <w:t>2.8 Protein Structure Prediction</w:t>
      </w:r>
    </w:p>
    <w:p w14:paraId="23B5281F" w14:textId="77777777" w:rsidR="00C60ED7" w:rsidRDefault="00000000">
      <w:r>
        <w:t>The OXA-23 protein sequence was submitted to SWISS-MODEL for three-dimensional structure prediction.</w:t>
      </w:r>
    </w:p>
    <w:p w14:paraId="77D0FBA2" w14:textId="77777777" w:rsidR="00C60ED7" w:rsidRDefault="00000000">
      <w:pPr>
        <w:pStyle w:val="Heading2"/>
      </w:pPr>
      <w:r>
        <w:lastRenderedPageBreak/>
        <w:t>2.9 Structural Validation</w:t>
      </w:r>
    </w:p>
    <w:p w14:paraId="275275E8" w14:textId="77777777" w:rsidR="00C60ED7" w:rsidRDefault="00000000">
      <w:r>
        <w:t>The quality of the predicted OXA-23 protein model was evaluated using PROCHECK, ERRAT, and Verify3D. Ramachandran plot analysis was used to assess stereochemical quality, while ERRAT and Verify3D were used to evaluate overall structural reliability and residue-environment compatibility.</w:t>
      </w:r>
    </w:p>
    <w:p w14:paraId="3F8C1701" w14:textId="77777777" w:rsidR="00274BB4" w:rsidRPr="00274BB4" w:rsidRDefault="00274BB4" w:rsidP="00274BB4">
      <w:pPr>
        <w:rPr>
          <w:lang w:val="en-IN"/>
        </w:rPr>
      </w:pPr>
      <w:r w:rsidRPr="00274BB4">
        <w:rPr>
          <w:lang w:val="en-IN"/>
        </w:rPr>
        <w:t xml:space="preserve">Software and database versions used in this study included FastQC v0.12.1, </w:t>
      </w:r>
      <w:proofErr w:type="spellStart"/>
      <w:r w:rsidRPr="00274BB4">
        <w:rPr>
          <w:lang w:val="en-IN"/>
        </w:rPr>
        <w:t>FastP</w:t>
      </w:r>
      <w:proofErr w:type="spellEnd"/>
      <w:r w:rsidRPr="00274BB4">
        <w:rPr>
          <w:lang w:val="en-IN"/>
        </w:rPr>
        <w:t xml:space="preserve"> v0.24.0, BWA v0.7.17, </w:t>
      </w:r>
      <w:proofErr w:type="spellStart"/>
      <w:r w:rsidRPr="00274BB4">
        <w:rPr>
          <w:lang w:val="en-IN"/>
        </w:rPr>
        <w:t>SAMtools</w:t>
      </w:r>
      <w:proofErr w:type="spellEnd"/>
      <w:r w:rsidRPr="00274BB4">
        <w:rPr>
          <w:lang w:val="en-IN"/>
        </w:rPr>
        <w:t xml:space="preserve"> v1.21, </w:t>
      </w:r>
      <w:proofErr w:type="spellStart"/>
      <w:r w:rsidRPr="00274BB4">
        <w:rPr>
          <w:lang w:val="en-IN"/>
        </w:rPr>
        <w:t>BCFtools</w:t>
      </w:r>
      <w:proofErr w:type="spellEnd"/>
      <w:r w:rsidRPr="00274BB4">
        <w:rPr>
          <w:lang w:val="en-IN"/>
        </w:rPr>
        <w:t xml:space="preserve"> v1.21, </w:t>
      </w:r>
      <w:proofErr w:type="spellStart"/>
      <w:r w:rsidRPr="00274BB4">
        <w:rPr>
          <w:lang w:val="en-IN"/>
        </w:rPr>
        <w:t>Prokka</w:t>
      </w:r>
      <w:proofErr w:type="spellEnd"/>
      <w:r w:rsidRPr="00274BB4">
        <w:rPr>
          <w:lang w:val="en-IN"/>
        </w:rPr>
        <w:t xml:space="preserve"> v1.14.6, </w:t>
      </w:r>
      <w:proofErr w:type="spellStart"/>
      <w:r w:rsidRPr="00274BB4">
        <w:rPr>
          <w:lang w:val="en-IN"/>
        </w:rPr>
        <w:t>ABRicate</w:t>
      </w:r>
      <w:proofErr w:type="spellEnd"/>
      <w:r w:rsidRPr="00274BB4">
        <w:rPr>
          <w:lang w:val="en-IN"/>
        </w:rPr>
        <w:t xml:space="preserve"> v1.4.0, Integrative Genomics Viewer (IGV) v2.x, SWISS-MODEL Workspace, CARD, VFDB, and NCBI AMR databases.</w:t>
      </w:r>
    </w:p>
    <w:p w14:paraId="4BD6ABD1" w14:textId="77777777" w:rsidR="00274BB4" w:rsidRDefault="00274BB4"/>
    <w:sectPr w:rsidR="00274B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678841">
    <w:abstractNumId w:val="8"/>
  </w:num>
  <w:num w:numId="2" w16cid:durableId="999389408">
    <w:abstractNumId w:val="6"/>
  </w:num>
  <w:num w:numId="3" w16cid:durableId="1423724015">
    <w:abstractNumId w:val="5"/>
  </w:num>
  <w:num w:numId="4" w16cid:durableId="606889034">
    <w:abstractNumId w:val="4"/>
  </w:num>
  <w:num w:numId="5" w16cid:durableId="576862786">
    <w:abstractNumId w:val="7"/>
  </w:num>
  <w:num w:numId="6" w16cid:durableId="963344584">
    <w:abstractNumId w:val="3"/>
  </w:num>
  <w:num w:numId="7" w16cid:durableId="346295460">
    <w:abstractNumId w:val="2"/>
  </w:num>
  <w:num w:numId="8" w16cid:durableId="1914703147">
    <w:abstractNumId w:val="1"/>
  </w:num>
  <w:num w:numId="9" w16cid:durableId="193242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BB4"/>
    <w:rsid w:val="0029639D"/>
    <w:rsid w:val="00326F90"/>
    <w:rsid w:val="003A2358"/>
    <w:rsid w:val="00AA1D8D"/>
    <w:rsid w:val="00B47730"/>
    <w:rsid w:val="00C60E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0F397"/>
  <w14:defaultImageDpi w14:val="300"/>
  <w15:docId w15:val="{0066F86D-E861-4039-AC3E-58894DF0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2</cp:revision>
  <dcterms:created xsi:type="dcterms:W3CDTF">2013-12-23T23:15:00Z</dcterms:created>
  <dcterms:modified xsi:type="dcterms:W3CDTF">2026-06-13T15:20:00Z</dcterms:modified>
  <cp:category/>
</cp:coreProperties>
</file>