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5C19D" w14:textId="77777777" w:rsidR="003C16E0" w:rsidRDefault="00000000">
      <w:pPr>
        <w:pStyle w:val="Heading1"/>
      </w:pPr>
      <w:r>
        <w:t>5. Conclusion</w:t>
      </w:r>
    </w:p>
    <w:p w14:paraId="1EE18991" w14:textId="3AEE95DE" w:rsidR="003C16E0" w:rsidRDefault="00000000">
      <w:r>
        <w:br/>
        <w:t xml:space="preserve">This study presents a comprehensive genomic and structural characterization of Acinetobacter baumannii SRR5891469 using whole-genome sequencing and bioinformatics approaches. Genome analysis identified multiple antimicrobial resistance determinants, including </w:t>
      </w:r>
      <w:r w:rsidR="0060697E">
        <w:t>beta</w:t>
      </w:r>
      <w:r>
        <w:t>-lactamase genes, aminoglycoside resistance genes, sulfonamide resistance genes, and multidrug efflux systems. Virulence profiling revealed numerous genes associated with biofilm formation, iron acquisition, pili assembly, and Type VI secretion systems, highlighting the pathogenic potential of the isolate.</w:t>
      </w:r>
      <w:r>
        <w:br/>
      </w:r>
      <w:r>
        <w:br/>
        <w:t xml:space="preserve">Mutation analysis of the OXA-23 </w:t>
      </w:r>
      <w:r w:rsidR="0060697E">
        <w:t>beta</w:t>
      </w:r>
      <w:r>
        <w:t>-lactamase gene identified several amino acid substitutions that may contribute to functional variation within the enzyme. Structural modeling of OXA-23 using SWISS-MODEL followed by validation through PROCHECK, ERRAT, and Verify3D demonstrated the reliability of the predicted protein structure.</w:t>
      </w:r>
      <w:r>
        <w:br/>
      </w:r>
      <w:r>
        <w:br/>
        <w:t xml:space="preserve">Overall, the integration of whole-genome analysis, resistance profiling, virulence characterization, mutation analysis, and structural bioinformatics provides valuable insights into the mechanisms underlying antimicrobial resistance and pathogenicity in Acinetobacter baumannii. </w:t>
      </w:r>
      <w:r w:rsidR="003B7867" w:rsidRPr="003B7867">
        <w:t>These findings contribute to the growing understanding of clinically important multidrug-resistant Acinetobacter baumannii strains and provide a foundation for future investigations into resistance evolution, surveillance, and therapeutic development.</w:t>
      </w:r>
    </w:p>
    <w:sectPr w:rsidR="003C16E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2698940">
    <w:abstractNumId w:val="8"/>
  </w:num>
  <w:num w:numId="2" w16cid:durableId="1789663738">
    <w:abstractNumId w:val="6"/>
  </w:num>
  <w:num w:numId="3" w16cid:durableId="229072715">
    <w:abstractNumId w:val="5"/>
  </w:num>
  <w:num w:numId="4" w16cid:durableId="673414162">
    <w:abstractNumId w:val="4"/>
  </w:num>
  <w:num w:numId="5" w16cid:durableId="1408383584">
    <w:abstractNumId w:val="7"/>
  </w:num>
  <w:num w:numId="6" w16cid:durableId="133304258">
    <w:abstractNumId w:val="3"/>
  </w:num>
  <w:num w:numId="7" w16cid:durableId="1424497169">
    <w:abstractNumId w:val="2"/>
  </w:num>
  <w:num w:numId="8" w16cid:durableId="303433649">
    <w:abstractNumId w:val="1"/>
  </w:num>
  <w:num w:numId="9" w16cid:durableId="115325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7867"/>
    <w:rsid w:val="003C16E0"/>
    <w:rsid w:val="0060697E"/>
    <w:rsid w:val="00AA1D8D"/>
    <w:rsid w:val="00AE5A28"/>
    <w:rsid w:val="00B47730"/>
    <w:rsid w:val="00CB0664"/>
    <w:rsid w:val="00CC05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47023"/>
  <w14:defaultImageDpi w14:val="300"/>
  <w15:docId w15:val="{0EE75207-AA99-440F-8CBF-9A1FC84B1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216</Words>
  <Characters>1237</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Subhasree sree</cp:lastModifiedBy>
  <cp:revision>3</cp:revision>
  <dcterms:created xsi:type="dcterms:W3CDTF">2013-12-23T23:15:00Z</dcterms:created>
  <dcterms:modified xsi:type="dcterms:W3CDTF">2026-06-13T15:14:00Z</dcterms:modified>
  <cp:category/>
</cp:coreProperties>
</file>