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A65E" w14:textId="77777777" w:rsidR="00E728F3" w:rsidRDefault="00000000">
      <w:pPr>
        <w:pStyle w:val="Heading1"/>
      </w:pPr>
      <w:r>
        <w:t>3. Results</w:t>
      </w:r>
    </w:p>
    <w:p w14:paraId="45B33333" w14:textId="77777777" w:rsidR="00E728F3" w:rsidRDefault="00000000">
      <w:pPr>
        <w:pStyle w:val="Heading2"/>
      </w:pPr>
      <w:r>
        <w:t>3.1 Genome Characterization</w:t>
      </w:r>
    </w:p>
    <w:p w14:paraId="06BFF735" w14:textId="714E5FB0" w:rsidR="00E728F3" w:rsidRDefault="00000000">
      <w:r>
        <w:t>Whole-genome analysis of Acinetobacter baumannii SRR5891469 was performed using a reference-guided bioinformatics workflow. The sequencing reads were aligned against the reference genome NZ_CP045110.1, which has an approximate genome size of 3.98 Mb. Genome annotation using Prokka identified 3,790 genes, including 3,772 protein-coding genes and 3,699 coding DNA sequences (CDSs) distributed across a single circular chromosome.</w:t>
      </w:r>
      <w:r>
        <w:br/>
      </w:r>
      <w:r>
        <w:br/>
        <w:t>The circular genome map generated from the annotated genome revealed the organization of coding sequences and genomic features throughout the chromosome (Figure 2). Annotation statistics are summarized in Table 2. The high number of coding sequences reflects the genomic complexity of A. baumannii and its ability to adapt to diverse environmental and clinical conditions.</w:t>
      </w:r>
      <w:r>
        <w:br/>
      </w:r>
      <w:r>
        <w:br/>
        <w:t xml:space="preserve">The annotated genome served as the foundation for subsequent analyses, including antimicrobial resistance gene identification, virulence factor profiling, mutation analysis of the OXA-23 </w:t>
      </w:r>
      <w:r w:rsidR="00C24DC5">
        <w:t>beta</w:t>
      </w:r>
      <w:r>
        <w:t>-lactamase gene, and structural characterization of resistance-associated proteins.</w:t>
      </w:r>
    </w:p>
    <w:p w14:paraId="0D7B7144" w14:textId="77777777" w:rsidR="00E728F3" w:rsidRDefault="00000000">
      <w:pPr>
        <w:pStyle w:val="Heading2"/>
      </w:pPr>
      <w:r>
        <w:t>3.2 Antimicrobial Resistance Genes</w:t>
      </w:r>
    </w:p>
    <w:p w14:paraId="53B4FC58" w14:textId="6ED2EACA" w:rsidR="00E728F3" w:rsidRDefault="00000000">
      <w:r>
        <w:t>Antimicrobial resistance gene profiling was performed using ABRicate against the CARD and NCBI AMR databases. A total of ten resistance-associated genes were identified within the genome of Acinetobacter baumannii SRR5891469 (Figure 3, Table 3).</w:t>
      </w:r>
      <w:r>
        <w:br/>
      </w:r>
      <w:r>
        <w:br/>
        <w:t xml:space="preserve">The detected resistance determinants included β-lactamase genes ADC-158 and OXA-1117, which are associated with resistance to </w:t>
      </w:r>
      <w:r w:rsidR="00C24DC5" w:rsidRPr="00C24DC5">
        <w:t xml:space="preserve">beta-lactam </w:t>
      </w:r>
      <w:r>
        <w:t>antibiotics</w:t>
      </w:r>
      <w:r w:rsidR="00C24DC5">
        <w:t xml:space="preserve"> </w:t>
      </w:r>
      <w:r>
        <w:t>and carbapenems. The aminoglycoside resistance gene ANT(3'')-IIa and the sulfonamide resistance gene sul2 were also identified. In addition, several multidrug efflux systems were detected, including AbaF, AbaQ, AmvA, AdeABC, AdeFGH, and AdeIJK.</w:t>
      </w:r>
      <w:r>
        <w:br/>
      </w:r>
      <w:r>
        <w:br/>
        <w:t>The presence of multiple resistance determinants indicates a multidrug-resistant genetic profile and highlights the ability of A. baumannii to survive under antibiotic selection pressure. These findings are consistent with the global emergence of resistant A. baumannii strains in clinical settings.</w:t>
      </w:r>
    </w:p>
    <w:p w14:paraId="6141901D" w14:textId="77777777" w:rsidR="00E728F3" w:rsidRDefault="00000000">
      <w:pPr>
        <w:pStyle w:val="Heading2"/>
      </w:pPr>
      <w:r>
        <w:t>3.3 Virulence Factors</w:t>
      </w:r>
    </w:p>
    <w:p w14:paraId="2B4281B4" w14:textId="77777777" w:rsidR="00E728F3" w:rsidRDefault="00000000">
      <w:r>
        <w:t>Virulence-associated genes were identified using the Virulence Factor Database (VFDB). A total of 110 virulence-related genes were detected within the genome of Acinetobacter baumannii SRR5891469 (Figure 4, Table 4).</w:t>
      </w:r>
      <w:r>
        <w:br/>
      </w:r>
      <w:r>
        <w:br/>
      </w:r>
      <w:r>
        <w:lastRenderedPageBreak/>
        <w:t>The identified virulence factors were primarily associated with biofilm formation, iron acquisition, pili assembly, Type VI secretion systems, and outer membrane proteins. Biofilm-associated genes contribute to surface attachment and persistence, while iron acquisition systems facilitate bacterial survival under iron-limited host environments. Pili-associated genes promote adhesion and colonization, whereas Type VI secretion system components are involved in bacterial competition and virulence.</w:t>
      </w:r>
      <w:r>
        <w:br/>
      </w:r>
      <w:r>
        <w:br/>
        <w:t>The diverse virulence repertoire observed in this isolate suggests multiple mechanisms that contribute to pathogenicity, environmental persistence, and successful host colonization.</w:t>
      </w:r>
    </w:p>
    <w:p w14:paraId="31768FB6" w14:textId="77777777" w:rsidR="00E728F3" w:rsidRDefault="00000000">
      <w:pPr>
        <w:pStyle w:val="Heading2"/>
      </w:pPr>
      <w:r>
        <w:t>3.4 OXA-23 Mutation Analysis</w:t>
      </w:r>
    </w:p>
    <w:p w14:paraId="4781B8BD" w14:textId="77777777" w:rsidR="00807069" w:rsidRPr="00807069" w:rsidRDefault="00000000" w:rsidP="00807069">
      <w:pPr>
        <w:rPr>
          <w:lang w:val="en-IN"/>
        </w:rPr>
      </w:pPr>
      <w:r>
        <w:t xml:space="preserve">The OXA-23 </w:t>
      </w:r>
      <w:r w:rsidR="00C24DC5">
        <w:t>beta</w:t>
      </w:r>
      <w:r>
        <w:t>-lactamase gene was extracted from the annotated genome and subjected to mutation analysis. Several nucleotide substitutions were identified within the coding region and subsequently confirmed through visual inspection using Integrative Genomics Viewer (IGV) (Figure 5).</w:t>
      </w:r>
      <w:r>
        <w:br/>
      </w:r>
      <w:r>
        <w:br/>
      </w:r>
      <w:r w:rsidR="00807069" w:rsidRPr="00807069">
        <w:rPr>
          <w:lang w:val="en-IN"/>
        </w:rPr>
        <w:t xml:space="preserve">The </w:t>
      </w:r>
      <w:proofErr w:type="spellStart"/>
      <w:r w:rsidR="00807069" w:rsidRPr="00807069">
        <w:rPr>
          <w:lang w:val="en-IN"/>
        </w:rPr>
        <w:t>analyzed</w:t>
      </w:r>
      <w:proofErr w:type="spellEnd"/>
      <w:r w:rsidR="00807069" w:rsidRPr="00807069">
        <w:rPr>
          <w:lang w:val="en-IN"/>
        </w:rPr>
        <w:t xml:space="preserve"> gene corresponded to the annotated beta-lactamase OXA-23 (locus tag NJBJLHLK_01820) identified through </w:t>
      </w:r>
      <w:proofErr w:type="spellStart"/>
      <w:r w:rsidR="00807069" w:rsidRPr="00807069">
        <w:rPr>
          <w:lang w:val="en-IN"/>
        </w:rPr>
        <w:t>Prokka</w:t>
      </w:r>
      <w:proofErr w:type="spellEnd"/>
      <w:r w:rsidR="00807069" w:rsidRPr="00807069">
        <w:rPr>
          <w:lang w:val="en-IN"/>
        </w:rPr>
        <w:t xml:space="preserve"> genome annotation and located at genomic coordinates 1887843–1888667.</w:t>
      </w:r>
    </w:p>
    <w:p w14:paraId="2C74113C" w14:textId="5698F31D" w:rsidR="00E728F3" w:rsidRDefault="00000000">
      <w:r>
        <w:t>IGV analysis demonstrated strong read support for the detected variants, confirming the reliability of the variant-calling results. The identified mutations were further investigated through structural modeling and validation analyses.</w:t>
      </w:r>
    </w:p>
    <w:p w14:paraId="7BC5F5A6" w14:textId="77777777" w:rsidR="00E728F3" w:rsidRDefault="00000000">
      <w:pPr>
        <w:pStyle w:val="Heading2"/>
      </w:pPr>
      <w:r>
        <w:t>3.5 Structural Modeling of OXA-23</w:t>
      </w:r>
    </w:p>
    <w:p w14:paraId="746DCCC0" w14:textId="7FB26635" w:rsidR="00E728F3" w:rsidRDefault="00000000">
      <w:r>
        <w:t xml:space="preserve">The amino acid sequence of OXA-23 </w:t>
      </w:r>
      <w:r w:rsidR="00C24DC5">
        <w:t>beta</w:t>
      </w:r>
      <w:r>
        <w:t>-lactamase was submitted to SWISS-MODEL for homology-based three-dimensional structure prediction. A high-confidence structural model was successfully generated (Figure 6).</w:t>
      </w:r>
      <w:r>
        <w:br/>
      </w:r>
      <w:r>
        <w:br/>
        <w:t xml:space="preserve">The predicted structure displayed the characteristic fold of Class D </w:t>
      </w:r>
      <w:r w:rsidR="00C24DC5">
        <w:t>beta</w:t>
      </w:r>
      <w:r>
        <w:t xml:space="preserve">-lactamases, including the conserved catalytic architecture required for hydrolysis of </w:t>
      </w:r>
      <w:r w:rsidR="00C24DC5">
        <w:t>beta</w:t>
      </w:r>
      <w:r>
        <w:t>-lactam antibiotics. Structural analysis suggested that the identified amino acid substitutions were distributed throughout the protein and may contribute to functional variation in enzyme activity.</w:t>
      </w:r>
      <w:r>
        <w:br/>
      </w:r>
      <w:r>
        <w:br/>
        <w:t>The generated model provided a structural framework for evaluating the potential impact of mutations on protein stability and antimicrobial resistance mechanisms.</w:t>
      </w:r>
    </w:p>
    <w:p w14:paraId="3354CDDF" w14:textId="77777777" w:rsidR="00E728F3" w:rsidRDefault="00000000">
      <w:pPr>
        <w:pStyle w:val="Heading2"/>
      </w:pPr>
      <w:r>
        <w:t>3.6 Structural Validation</w:t>
      </w:r>
    </w:p>
    <w:p w14:paraId="576AC20C" w14:textId="77777777" w:rsidR="00E728F3" w:rsidRDefault="00000000">
      <w:r>
        <w:t>The quality of the predicted OXA-23 structural model was assessed using PROCHECK, ERRAT, and Verify3D (Figures 7–9).</w:t>
      </w:r>
      <w:r>
        <w:br/>
      </w:r>
      <w:r>
        <w:br/>
        <w:t xml:space="preserve">Ramachandran plot analysis generated by PROCHECK demonstrated that 92.1% of residues were located within the most favored regions, 6.6% within additionally allowed regions, </w:t>
      </w:r>
      <w:r>
        <w:lastRenderedPageBreak/>
        <w:t>0.8% within generously allowed regions, and only 0.4% within disallowed regions. These values indicate good stereochemical quality of the model.</w:t>
      </w:r>
      <w:r>
        <w:br/>
      </w:r>
      <w:r>
        <w:br/>
        <w:t>ERRAT analysis produced an overall quality factor of 94.61, indicating a highly reliable structural model with acceptable non-bonded atomic interactions. Verify3D analysis further demonstrated that 88.32% of residues achieved acceptable three-dimensional to one-dimensional compatibility scores.</w:t>
      </w:r>
      <w:r>
        <w:br/>
      </w:r>
      <w:r>
        <w:br/>
        <w:t>Collectively, these validation metrics confirm that the predicted OXA-23 structure is of high quality and suitable for structural interpretation of the identified mutations.</w:t>
      </w:r>
    </w:p>
    <w:sectPr w:rsidR="00E728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37472">
    <w:abstractNumId w:val="8"/>
  </w:num>
  <w:num w:numId="2" w16cid:durableId="240480889">
    <w:abstractNumId w:val="6"/>
  </w:num>
  <w:num w:numId="3" w16cid:durableId="1289317143">
    <w:abstractNumId w:val="5"/>
  </w:num>
  <w:num w:numId="4" w16cid:durableId="867372790">
    <w:abstractNumId w:val="4"/>
  </w:num>
  <w:num w:numId="5" w16cid:durableId="1462654463">
    <w:abstractNumId w:val="7"/>
  </w:num>
  <w:num w:numId="6" w16cid:durableId="1823811216">
    <w:abstractNumId w:val="3"/>
  </w:num>
  <w:num w:numId="7" w16cid:durableId="803427675">
    <w:abstractNumId w:val="2"/>
  </w:num>
  <w:num w:numId="8" w16cid:durableId="1712726237">
    <w:abstractNumId w:val="1"/>
  </w:num>
  <w:num w:numId="9" w16cid:durableId="2067949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8B9"/>
    <w:rsid w:val="00807069"/>
    <w:rsid w:val="00AA1D8D"/>
    <w:rsid w:val="00AB306C"/>
    <w:rsid w:val="00B47730"/>
    <w:rsid w:val="00C24DC5"/>
    <w:rsid w:val="00CB0664"/>
    <w:rsid w:val="00E728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B2056"/>
  <w14:defaultImageDpi w14:val="300"/>
  <w15:docId w15:val="{02CA2C0E-CCA8-4986-8E19-6BB7F288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0706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3</cp:revision>
  <dcterms:created xsi:type="dcterms:W3CDTF">2013-12-23T23:15:00Z</dcterms:created>
  <dcterms:modified xsi:type="dcterms:W3CDTF">2026-06-13T15:22:00Z</dcterms:modified>
  <cp:category/>
</cp:coreProperties>
</file>