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7FB4" w14:textId="77777777" w:rsidR="00584C19" w:rsidRDefault="00000000">
      <w:pPr>
        <w:pStyle w:val="Heading1"/>
      </w:pPr>
      <w:r>
        <w:t>Abstract</w:t>
      </w:r>
    </w:p>
    <w:p w14:paraId="2B3DF58F" w14:textId="77777777" w:rsidR="00584C19" w:rsidRDefault="00000000">
      <w:pPr>
        <w:pStyle w:val="Heading2"/>
      </w:pPr>
      <w:r>
        <w:t>Background</w:t>
      </w:r>
    </w:p>
    <w:p w14:paraId="03022846" w14:textId="6587676A" w:rsidR="00584C19" w:rsidRDefault="00000000">
      <w:r>
        <w:t xml:space="preserve">Acinetobacter baumannii is an opportunistic Gram-negative pathogen associated with healthcare-associated infections and increasing levels of antimicrobial resistance. The emergence of carbapenem-resistant strains has become a major clinical concern worldwide. This study aimed to perform comprehensive genomic and structural characterization of Acinetobacter baumannii isolate SRR5891469, with particular emphasis on antimicrobial resistance determinants, virulence factors, and mutations within the </w:t>
      </w:r>
      <w:r w:rsidR="0025219A" w:rsidRPr="0025219A">
        <w:t>OXA-23 beta-lactamase gene</w:t>
      </w:r>
    </w:p>
    <w:p w14:paraId="04CFB730" w14:textId="77777777" w:rsidR="00584C19" w:rsidRDefault="00000000">
      <w:pPr>
        <w:pStyle w:val="Heading2"/>
      </w:pPr>
      <w:r>
        <w:t>Methods</w:t>
      </w:r>
    </w:p>
    <w:p w14:paraId="2FB350EE" w14:textId="77777777" w:rsidR="00584C19" w:rsidRDefault="00000000">
      <w:r>
        <w:t>Whole-genome sequencing data (SRR5891469) were obtained from the NCBI Sequence Read Archive. Sequencing reads were subjected to quality assessment using FastQC, trimming with FastP, alignment against reference genome NZ_CP045110.1 using BWA-MEM, and variant calling using BCFtools. Genome annotation was performed using Prokka. Antimicrobial resistance genes and virulence factors were identified using ABRicate with CARD, NCBI, and VFDB databases. The OXA-23 gene was analyzed for mutations, and the corresponding protein structure was predicted using SWISS-MODEL. Structural quality was evaluated using PROCHECK, ERRAT, and Verify3D.</w:t>
      </w:r>
    </w:p>
    <w:p w14:paraId="0D34968B" w14:textId="77777777" w:rsidR="00584C19" w:rsidRDefault="00000000">
      <w:pPr>
        <w:pStyle w:val="Heading2"/>
      </w:pPr>
      <w:r>
        <w:t>Results</w:t>
      </w:r>
    </w:p>
    <w:p w14:paraId="357FFFCB" w14:textId="72B09B03" w:rsidR="00584C19" w:rsidRDefault="00000000">
      <w:r>
        <w:t xml:space="preserve">Genome annotation identified 3,790 genes, including 3,772 protein-coding genes and 3,699 coding sequences. Multiple antimicrobial resistance determinants were detected, including ADC-158, OXA-1117, ANT(3'')-IIa, sul2, and several multidrug efflux systems. A total of 110 virulence-associated genes were identified, primarily involved in biofilm formation, iron acquisition, pili assembly, and Type VI secretion systems. Mutation analysis of the OXA-23 </w:t>
      </w:r>
      <w:r w:rsidR="0007278B">
        <w:t>beta</w:t>
      </w:r>
      <w:r>
        <w:t xml:space="preserve">-lactamase gene revealed multiple amino acid substitutions, including S64G, A96P, D134H, N146Y, Y153D, P170T, L171I, G240E, S246A, and K252N. </w:t>
      </w:r>
      <w:r w:rsidR="0025219A" w:rsidRPr="0025219A">
        <w:t>Structural validation demonstrated high model quality, with 92.1% of residues located in favored Ramachandran regions, an ERRAT quality factor of 94.61, and 88.32% Verify3D compatibility.</w:t>
      </w:r>
    </w:p>
    <w:p w14:paraId="0A84CDCD" w14:textId="77777777" w:rsidR="00584C19" w:rsidRDefault="00000000">
      <w:pPr>
        <w:pStyle w:val="Heading2"/>
      </w:pPr>
      <w:r>
        <w:t>Conclusion</w:t>
      </w:r>
    </w:p>
    <w:p w14:paraId="23D7F25D" w14:textId="77777777" w:rsidR="00584C19" w:rsidRDefault="00000000">
      <w:r>
        <w:t>The study provides a comprehensive genomic and structural assessment of Acinetobacter baumannii SRR5891469 and highlights the presence of multiple antimicrobial resistance determinants, virulence-associated genes, and OXA-23 mutations. The integration of genomic and structural analyses offers valuable insights into bacterial resistance mechanisms and pathogenicity.</w:t>
      </w:r>
    </w:p>
    <w:sectPr w:rsidR="00584C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03551">
    <w:abstractNumId w:val="8"/>
  </w:num>
  <w:num w:numId="2" w16cid:durableId="1593933677">
    <w:abstractNumId w:val="6"/>
  </w:num>
  <w:num w:numId="3" w16cid:durableId="1801264807">
    <w:abstractNumId w:val="5"/>
  </w:num>
  <w:num w:numId="4" w16cid:durableId="3938551">
    <w:abstractNumId w:val="4"/>
  </w:num>
  <w:num w:numId="5" w16cid:durableId="660888671">
    <w:abstractNumId w:val="7"/>
  </w:num>
  <w:num w:numId="6" w16cid:durableId="607664980">
    <w:abstractNumId w:val="3"/>
  </w:num>
  <w:num w:numId="7" w16cid:durableId="1966961459">
    <w:abstractNumId w:val="2"/>
  </w:num>
  <w:num w:numId="8" w16cid:durableId="1027801093">
    <w:abstractNumId w:val="1"/>
  </w:num>
  <w:num w:numId="9" w16cid:durableId="123358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8B"/>
    <w:rsid w:val="0015074B"/>
    <w:rsid w:val="0025219A"/>
    <w:rsid w:val="0029639D"/>
    <w:rsid w:val="00326F90"/>
    <w:rsid w:val="00584C19"/>
    <w:rsid w:val="006E0656"/>
    <w:rsid w:val="00AA1D8D"/>
    <w:rsid w:val="00B47730"/>
    <w:rsid w:val="00C365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A9523"/>
  <w14:defaultImageDpi w14:val="300"/>
  <w15:docId w15:val="{950B7A57-08EC-4B12-BE35-9F4B218A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3</cp:revision>
  <dcterms:created xsi:type="dcterms:W3CDTF">2013-12-23T23:15:00Z</dcterms:created>
  <dcterms:modified xsi:type="dcterms:W3CDTF">2026-06-13T17:47:00Z</dcterms:modified>
  <cp:category/>
</cp:coreProperties>
</file>