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2330" w14:textId="77777777" w:rsidR="00FE38C9" w:rsidRDefault="00000000">
      <w:pPr>
        <w:pStyle w:val="Heading1"/>
      </w:pPr>
      <w:r>
        <w:t>4. Discussion</w:t>
      </w:r>
    </w:p>
    <w:p w14:paraId="1A07B458" w14:textId="77777777" w:rsidR="00FE38C9" w:rsidRDefault="00000000">
      <w:pPr>
        <w:pStyle w:val="Heading2"/>
      </w:pPr>
      <w:r>
        <w:t>4.1 Antimicrobial Resistance Profile</w:t>
      </w:r>
    </w:p>
    <w:p w14:paraId="419D34A7" w14:textId="089F3F7E" w:rsidR="002E444F" w:rsidRDefault="00000000">
      <w:r>
        <w:t xml:space="preserve">The antimicrobial resistance analysis revealed the presence of multiple resistance determinants within the genome of Acinetobacter baumannii SRR5891469. The identification of ADC-158 and OXA-1117 </w:t>
      </w:r>
      <w:r w:rsidR="005707FF">
        <w:t>beta</w:t>
      </w:r>
      <w:r>
        <w:t xml:space="preserve">-lactamase genes indicates resistance mechanisms targeting </w:t>
      </w:r>
      <w:r w:rsidR="005707FF">
        <w:t>beta</w:t>
      </w:r>
      <w:r>
        <w:t xml:space="preserve">-lactam antibiotics, including carbapenems. Additional resistance genes, such as </w:t>
      </w:r>
      <w:proofErr w:type="gramStart"/>
      <w:r>
        <w:t>ANT(</w:t>
      </w:r>
      <w:proofErr w:type="gramEnd"/>
      <w:r>
        <w:t>3'')-IIa and sul2, further contribute to resistance against aminoglycosides and sulfonamides, respectively.</w:t>
      </w:r>
    </w:p>
    <w:p w14:paraId="349E4785" w14:textId="286A8064" w:rsidR="00FE38C9" w:rsidRDefault="002E444F">
      <w:r w:rsidRPr="002E444F">
        <w:t>Acinetobacter baumannii has been designated as a critical priority pathogen by the World Health Organization due to the rapid emergence of multidrug-resistant and carbapenem-resistant strains.</w:t>
      </w:r>
      <w:r>
        <w:br/>
      </w:r>
      <w:r>
        <w:br/>
        <w:t>The detection of several efflux pump systems, including AbaF, AbaQ, AmvA, AdeABC, AdeFGH, and AdeIJK, highlights the multidrug-resistant nature of the isolate. Efflux pumps play a critical role in reducing intracellular antibiotic concentrations and are commonly associated with treatment failure and persistence in clinical environments.</w:t>
      </w:r>
    </w:p>
    <w:p w14:paraId="372A91F5" w14:textId="77777777" w:rsidR="00FE38C9" w:rsidRDefault="00000000">
      <w:pPr>
        <w:pStyle w:val="Heading2"/>
      </w:pPr>
      <w:r>
        <w:t>4.2 Virulence Determinants</w:t>
      </w:r>
    </w:p>
    <w:p w14:paraId="772E3945" w14:textId="77777777" w:rsidR="00FE38C9" w:rsidRDefault="00000000">
      <w:r>
        <w:t>Virulence factor profiling identified a diverse set of genes associated with pathogenicity and environmental adaptation. The presence of biofilm-associated genes suggests an enhanced ability to adhere to abiotic and biotic surfaces, contributing to persistence and chronic infection. Iron acquisition systems identified in the genome support bacterial survival under iron-limited host conditions.</w:t>
      </w:r>
      <w:r>
        <w:br/>
      </w:r>
      <w:r>
        <w:br/>
        <w:t>Genes related to pili assembly, outer membrane proteins, and Type VI secretion systems further indicate the capacity of the organism to colonize host tissues, evade immune responses, and compete with other microorganisms. Collectively, these virulence determinants may contribute to the clinical success of A. baumannii as an opportunistic pathogen.</w:t>
      </w:r>
    </w:p>
    <w:p w14:paraId="43580108" w14:textId="77777777" w:rsidR="00FE38C9" w:rsidRDefault="00000000">
      <w:pPr>
        <w:pStyle w:val="Heading2"/>
      </w:pPr>
      <w:r>
        <w:t>4.3 OXA-23 Mutation Analysis</w:t>
      </w:r>
    </w:p>
    <w:p w14:paraId="2076AA96" w14:textId="028F5295" w:rsidR="002E444F" w:rsidRDefault="00000000">
      <w:r>
        <w:t xml:space="preserve">Mutation analysis of the OXA-23 </w:t>
      </w:r>
      <w:r w:rsidR="005707FF">
        <w:t>beta</w:t>
      </w:r>
      <w:r>
        <w:t>-lactamase gene revealed multiple amino acid substitutions distributed throughout the protein sequence. The observed substitutions, including S64G, A96P, D134H, N146Y, Y153D, P170T, L171I, G240E, S246A, and K252N, may influence protein conformation and enzymatic properties.</w:t>
      </w:r>
    </w:p>
    <w:p w14:paraId="037B003B" w14:textId="7BCC5601" w:rsidR="002E444F" w:rsidRDefault="002E444F" w:rsidP="002E444F">
      <w:r w:rsidRPr="002E444F">
        <w:t xml:space="preserve">OXA-type </w:t>
      </w:r>
      <w:r w:rsidR="005707FF">
        <w:t>beta</w:t>
      </w:r>
      <w:r w:rsidRPr="002E444F">
        <w:t>-lactamases are among the most important mechanisms responsible for carbapenem resistance in Acinetobacter baumannii, and sequence variation within these enzymes may influence resistance phenotypes.</w:t>
      </w:r>
    </w:p>
    <w:p w14:paraId="222C5837" w14:textId="5FDF9C29" w:rsidR="00FE38C9" w:rsidRDefault="00000000">
      <w:r>
        <w:lastRenderedPageBreak/>
        <w:br/>
      </w:r>
      <w:r>
        <w:br/>
        <w:t>Although the functional consequences of these mutations require experimental validation, sequence variation within resistance-associated enzymes has previously been linked to altered substrate recognition, catalytic efficiency, and resistance phenotypes. Therefore, the identified mutations may contribute to the adaptive evolution of the enzyme.</w:t>
      </w:r>
    </w:p>
    <w:p w14:paraId="1A40F453" w14:textId="77777777" w:rsidR="00FE38C9" w:rsidRDefault="00000000">
      <w:pPr>
        <w:pStyle w:val="Heading2"/>
      </w:pPr>
      <w:r>
        <w:t>4.4 Structural Modeling and Validation</w:t>
      </w:r>
    </w:p>
    <w:p w14:paraId="48E9CC6C" w14:textId="0067C245" w:rsidR="00FE38C9" w:rsidRDefault="00000000">
      <w:r>
        <w:t xml:space="preserve">Homology modeling using SWISS-MODEL generated a high-quality three-dimensional structure of the OXA-23 protein. The predicted model exhibited the characteristic fold of Class D </w:t>
      </w:r>
      <w:r w:rsidR="005707FF">
        <w:t>beta</w:t>
      </w:r>
      <w:r>
        <w:t>-lactamases and provided a structural framework for assessing mutation distribution.</w:t>
      </w:r>
      <w:r>
        <w:br/>
      </w:r>
      <w:r>
        <w:br/>
      </w:r>
      <w:r w:rsidR="002E444F" w:rsidRPr="002E444F">
        <w:t>Ramachandran plot analysis showed that 92.1% of residues were located in the most favored regions, 6.6% in additionally allowed regions, 0.8% in generously allowed regions, and only 0.4% in disallowed regions. ERRAT analysis produced an overall quality factor of 94.61, while Verify3D indicated that 88.32% of residues achieved acceptable 3D–1D compatibility scores.</w:t>
      </w:r>
    </w:p>
    <w:p w14:paraId="4C5434E2" w14:textId="77777777" w:rsidR="00FE38C9" w:rsidRDefault="00000000">
      <w:pPr>
        <w:pStyle w:val="Heading2"/>
      </w:pPr>
      <w:r>
        <w:t>4.5 Biological Significance of the Findings</w:t>
      </w:r>
    </w:p>
    <w:p w14:paraId="557DA049" w14:textId="4F2A4E59" w:rsidR="00FE38C9" w:rsidRDefault="00000000">
      <w:r>
        <w:t>The combined genomic and structural analyses provide valuable insights into the resistance and virulence characteristics of Acinetobacter baumannii SRR5891469. The coexistence of multiple antimicrobial resistance determinants and virulence-associated genes suggests a highly adaptive organism capable of surviving under both antibiotic pressure and host-associated stress conditions.</w:t>
      </w:r>
      <w:r>
        <w:br/>
      </w:r>
      <w:r>
        <w:br/>
        <w:t xml:space="preserve">Furthermore, structural characterization of the OXA-23 </w:t>
      </w:r>
      <w:r w:rsidR="005707FF">
        <w:t>beta</w:t>
      </w:r>
      <w:r>
        <w:t>-lactamase offers a foundation for understanding the potential impact of sequence variation on protein function. These findings contribute to the growing body of knowledge regarding the molecular mechanisms underlying antimicrobial resistance and pathogenicity in A. baumannii and may support future efforts aimed at surveillance, therapeutic development, and infection control strategies.</w:t>
      </w:r>
    </w:p>
    <w:p w14:paraId="556CF9A0" w14:textId="77777777" w:rsidR="00006ADB" w:rsidRPr="00006ADB" w:rsidRDefault="00006ADB" w:rsidP="00006ADB">
      <w:pPr>
        <w:rPr>
          <w:lang w:val="en-IN"/>
        </w:rPr>
      </w:pPr>
      <w:r w:rsidRPr="00006ADB">
        <w:rPr>
          <w:lang w:val="en-IN"/>
        </w:rPr>
        <w:t>One limitation of this study is that all analyses were performed using computational approaches and publicly available sequencing data. Experimental validation of the identified mutations and predicted structural effects would be required to confirm their biological significance. Future studies integrating phenotypic antimicrobial susceptibility testing and laboratory-based functional analyses would provide additional insights into the impact of these mutations on resistance mechanisms.</w:t>
      </w:r>
    </w:p>
    <w:p w14:paraId="04936256" w14:textId="77777777" w:rsidR="00006ADB" w:rsidRDefault="00006ADB"/>
    <w:sectPr w:rsidR="00006A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7960345">
    <w:abstractNumId w:val="8"/>
  </w:num>
  <w:num w:numId="2" w16cid:durableId="519323356">
    <w:abstractNumId w:val="6"/>
  </w:num>
  <w:num w:numId="3" w16cid:durableId="220407122">
    <w:abstractNumId w:val="5"/>
  </w:num>
  <w:num w:numId="4" w16cid:durableId="1955136625">
    <w:abstractNumId w:val="4"/>
  </w:num>
  <w:num w:numId="5" w16cid:durableId="595089823">
    <w:abstractNumId w:val="7"/>
  </w:num>
  <w:num w:numId="6" w16cid:durableId="877011276">
    <w:abstractNumId w:val="3"/>
  </w:num>
  <w:num w:numId="7" w16cid:durableId="73479484">
    <w:abstractNumId w:val="2"/>
  </w:num>
  <w:num w:numId="8" w16cid:durableId="1614169201">
    <w:abstractNumId w:val="1"/>
  </w:num>
  <w:num w:numId="9" w16cid:durableId="1326472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DB"/>
    <w:rsid w:val="00034616"/>
    <w:rsid w:val="0006063C"/>
    <w:rsid w:val="0015074B"/>
    <w:rsid w:val="0029639D"/>
    <w:rsid w:val="002E444F"/>
    <w:rsid w:val="00326F90"/>
    <w:rsid w:val="005707FF"/>
    <w:rsid w:val="007F1303"/>
    <w:rsid w:val="00AA1D8D"/>
    <w:rsid w:val="00B47730"/>
    <w:rsid w:val="00CB0664"/>
    <w:rsid w:val="00E71E54"/>
    <w:rsid w:val="00F9161D"/>
    <w:rsid w:val="00FC693F"/>
    <w:rsid w:val="00FE38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F60DB"/>
  <w14:defaultImageDpi w14:val="300"/>
  <w15:docId w15:val="{6AFF6439-A71D-4442-9C38-5AF47A2D0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Subhasree sree</cp:lastModifiedBy>
  <cp:revision>4</cp:revision>
  <dcterms:created xsi:type="dcterms:W3CDTF">2013-12-23T23:15:00Z</dcterms:created>
  <dcterms:modified xsi:type="dcterms:W3CDTF">2026-06-13T15:23:00Z</dcterms:modified>
  <cp:category/>
</cp:coreProperties>
</file>