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FAE57" w14:textId="77777777" w:rsidR="00EC6125" w:rsidRDefault="00000000">
      <w:pPr>
        <w:pStyle w:val="Heading1"/>
      </w:pPr>
      <w:r>
        <w:t>1. Introduction</w:t>
      </w:r>
    </w:p>
    <w:p w14:paraId="66C0153F" w14:textId="3692373C" w:rsidR="00EC6125" w:rsidRDefault="00000000">
      <w:r>
        <w:br/>
        <w:t>Acinetobacter baumannii is a Gram-negative opportunistic pathogen that has emerged as one of the most important causes of healthcare-associated infections worldwide. The organism is frequently associated with bloodstream infections, ventilator-associated pneumonia, urinary tract infections, wound infections, and intensive care unit (ICU)-associated outbreaks. Its remarkable ability to survive under harsh environmental conditions and acquire multiple resistance determinants has made it a major public health concern.</w:t>
      </w:r>
      <w:r>
        <w:br/>
      </w:r>
      <w:r>
        <w:br/>
        <w:t>The rapid emergence of multidrug-resistant (MDR) and extensively drug-resistant (XDR) A. baumannii strains has significantly limited available treatment options. Resistance to carbapenems, which are often considered last-resort antibiotics for severe bacterial infections, is particularly alarming. Carbapenem-resistant A. baumannii has been prioritized by the World Health Organization as a critical pathogen requiring urgent research and development of new therapeutic strategies.</w:t>
      </w:r>
      <w:r>
        <w:br/>
      </w:r>
      <w:r>
        <w:br/>
        <w:t xml:space="preserve">Among the mechanisms responsible for carbapenem resistance, OXA-type </w:t>
      </w:r>
      <w:r w:rsidR="009E774B">
        <w:t>beta</w:t>
      </w:r>
      <w:r>
        <w:t xml:space="preserve">-lactamases play a central role. The OXA-23 enzyme is one of the most widespread carbapenem-hydrolyzing class D </w:t>
      </w:r>
      <w:r w:rsidR="009E774B">
        <w:t>beta</w:t>
      </w:r>
      <w:r>
        <w:t>-lactamases and has been frequently reported in clinical isolates worldwide. Mutations within resistance-associated genes may alter enzyme structure and function, potentially influencing substrate specificity, catalytic efficiency, and antimicrobial resistance phenotypes.</w:t>
      </w:r>
      <w:r>
        <w:br/>
      </w:r>
      <w:r>
        <w:br/>
        <w:t>Advances in whole-genome sequencing and bioinformatics have enabled comprehensive characterization of bacterial pathogens at the genomic level. Genome analysis allows identification of antimicrobial resistance genes, virulence factors, and genetic variations associated with pathogenicity. Furthermore, protein structure prediction and validation provide valuable insights into the functional consequences of mutations and their potential impact on resistance mechanisms.</w:t>
      </w:r>
      <w:r>
        <w:br/>
      </w:r>
      <w:r>
        <w:br/>
        <w:t xml:space="preserve">Therefore, the present study aimed to perform a comprehensive genomic and structural characterization of Acinetobacter baumannii isolate SRR5891469. The study focused on the identification of antimicrobial resistance determinants, virulence-associated genes, mutation analysis of the OXA-23 </w:t>
      </w:r>
      <w:r w:rsidR="009E774B">
        <w:t>beta</w:t>
      </w:r>
      <w:r>
        <w:t>-lactamase gene, and structural assessment of the corresponding protein using computational modeling and validation approaches.</w:t>
      </w:r>
      <w:r>
        <w:br/>
      </w:r>
    </w:p>
    <w:sectPr w:rsidR="00EC61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3680827">
    <w:abstractNumId w:val="8"/>
  </w:num>
  <w:num w:numId="2" w16cid:durableId="23287357">
    <w:abstractNumId w:val="6"/>
  </w:num>
  <w:num w:numId="3" w16cid:durableId="1741948929">
    <w:abstractNumId w:val="5"/>
  </w:num>
  <w:num w:numId="4" w16cid:durableId="290210620">
    <w:abstractNumId w:val="4"/>
  </w:num>
  <w:num w:numId="5" w16cid:durableId="1609191277">
    <w:abstractNumId w:val="7"/>
  </w:num>
  <w:num w:numId="6" w16cid:durableId="741296611">
    <w:abstractNumId w:val="3"/>
  </w:num>
  <w:num w:numId="7" w16cid:durableId="635917064">
    <w:abstractNumId w:val="2"/>
  </w:num>
  <w:num w:numId="8" w16cid:durableId="1864709036">
    <w:abstractNumId w:val="1"/>
  </w:num>
  <w:num w:numId="9" w16cid:durableId="1094976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34DD"/>
    <w:rsid w:val="0029639D"/>
    <w:rsid w:val="00326F90"/>
    <w:rsid w:val="009E774B"/>
    <w:rsid w:val="00AA1D8D"/>
    <w:rsid w:val="00B47730"/>
    <w:rsid w:val="00CB0664"/>
    <w:rsid w:val="00EC61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79B60C"/>
  <w14:defaultImageDpi w14:val="300"/>
  <w15:docId w15:val="{9CC29C6F-5A86-4265-B26C-0CA137990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355</Words>
  <Characters>2028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Subhasree sree</cp:lastModifiedBy>
  <cp:revision>2</cp:revision>
  <dcterms:created xsi:type="dcterms:W3CDTF">2013-12-23T23:15:00Z</dcterms:created>
  <dcterms:modified xsi:type="dcterms:W3CDTF">2026-06-13T15:07:00Z</dcterms:modified>
  <cp:category/>
</cp:coreProperties>
</file>