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A9F8B" w14:textId="77777777" w:rsidR="004A5665" w:rsidRPr="004A5665" w:rsidRDefault="004A5665" w:rsidP="004A5665">
      <w:pPr>
        <w:spacing w:after="160" w:line="259" w:lineRule="auto"/>
        <w:jc w:val="both"/>
        <w:rPr>
          <w:rFonts w:ascii="Times New Roman" w:hAnsi="Times New Roman" w:cs="Times New Roman"/>
          <w:b/>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5665">
        <w:rPr>
          <w:rFonts w:ascii="Times New Roman" w:hAnsi="Times New Roman" w:cs="Times New Roman"/>
          <w:b/>
          <w:bCs/>
          <w:color w:val="156082"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BUDGET:</w:t>
      </w:r>
    </w:p>
    <w:p w14:paraId="22878678" w14:textId="77777777" w:rsidR="004A5665" w:rsidRPr="00A35E84" w:rsidRDefault="004A5665" w:rsidP="004A5665">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OVERVIEW OF €175,000 ALLOCATION</w:t>
      </w:r>
    </w:p>
    <w:p w14:paraId="443E5D72" w14:textId="77777777" w:rsidR="004A5665" w:rsidRPr="001F21A2" w:rsidRDefault="004A5665" w:rsidP="004A5665">
      <w:pPr>
        <w:jc w:val="both"/>
        <w:rPr>
          <w:rFonts w:ascii="Times New Roman" w:hAnsi="Times New Roman" w:cs="Times New Roman"/>
          <w:sz w:val="24"/>
          <w:szCs w:val="24"/>
        </w:rPr>
      </w:pPr>
      <w:r w:rsidRPr="001F21A2">
        <w:rPr>
          <w:rFonts w:ascii="Times New Roman" w:hAnsi="Times New Roman" w:cs="Times New Roman"/>
          <w:sz w:val="24"/>
          <w:szCs w:val="24"/>
        </w:rPr>
        <w:t>The Go Fit marketing campaign money is prudently divided between major components for achieving the goals of its ten-week planning phase and six-month execution phase. Below are details of the budget allocations in what makes for a very detailed analysis.</w:t>
      </w:r>
    </w:p>
    <w:p w14:paraId="2793AC91" w14:textId="77777777" w:rsidR="004A5665" w:rsidRPr="00A35E84" w:rsidRDefault="004A5665" w:rsidP="004A5665">
      <w:pPr>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TABULATION:</w:t>
      </w:r>
    </w:p>
    <w:tbl>
      <w:tblPr>
        <w:tblStyle w:val="TableGrid"/>
        <w:tblW w:w="0" w:type="auto"/>
        <w:tblLook w:val="04A0" w:firstRow="1" w:lastRow="0" w:firstColumn="1" w:lastColumn="0" w:noHBand="0" w:noVBand="1"/>
      </w:tblPr>
      <w:tblGrid>
        <w:gridCol w:w="2254"/>
        <w:gridCol w:w="2254"/>
        <w:gridCol w:w="2254"/>
        <w:gridCol w:w="2254"/>
      </w:tblGrid>
      <w:tr w:rsidR="004A5665" w14:paraId="1B4A96C8" w14:textId="77777777" w:rsidTr="00C34B12">
        <w:trPr>
          <w:hidden/>
        </w:trPr>
        <w:tc>
          <w:tcPr>
            <w:tcW w:w="2254" w:type="dxa"/>
          </w:tcPr>
          <w:p w14:paraId="674FFB75" w14:textId="77777777" w:rsidR="004A5665" w:rsidRDefault="004A5665" w:rsidP="00C34B12">
            <w:pPr>
              <w:rPr>
                <w:b/>
                <w:bCs/>
                <w:vanish/>
              </w:rPr>
            </w:pPr>
          </w:p>
        </w:tc>
        <w:tc>
          <w:tcPr>
            <w:tcW w:w="2254" w:type="dxa"/>
          </w:tcPr>
          <w:p w14:paraId="026EADF8" w14:textId="77777777" w:rsidR="004A5665" w:rsidRDefault="004A5665" w:rsidP="00C34B12">
            <w:pPr>
              <w:rPr>
                <w:b/>
                <w:bCs/>
                <w:vanish/>
              </w:rPr>
            </w:pPr>
          </w:p>
        </w:tc>
        <w:tc>
          <w:tcPr>
            <w:tcW w:w="2254" w:type="dxa"/>
          </w:tcPr>
          <w:p w14:paraId="6B14BD3C" w14:textId="77777777" w:rsidR="004A5665" w:rsidRDefault="004A5665" w:rsidP="00C34B12">
            <w:pPr>
              <w:rPr>
                <w:b/>
                <w:bCs/>
                <w:vanish/>
              </w:rPr>
            </w:pPr>
          </w:p>
        </w:tc>
        <w:tc>
          <w:tcPr>
            <w:tcW w:w="2254" w:type="dxa"/>
          </w:tcPr>
          <w:p w14:paraId="15ACA535" w14:textId="77777777" w:rsidR="004A5665" w:rsidRDefault="004A5665" w:rsidP="00C34B12">
            <w:pPr>
              <w:rPr>
                <w:b/>
                <w:bCs/>
                <w:vanish/>
              </w:rPr>
            </w:pPr>
          </w:p>
        </w:tc>
      </w:tr>
      <w:tr w:rsidR="004A5665" w14:paraId="1D0F8FE5" w14:textId="77777777" w:rsidTr="00C34B12">
        <w:trPr>
          <w:hidden/>
        </w:trPr>
        <w:tc>
          <w:tcPr>
            <w:tcW w:w="2254" w:type="dxa"/>
          </w:tcPr>
          <w:p w14:paraId="178736CC" w14:textId="77777777" w:rsidR="004A5665" w:rsidRDefault="004A5665" w:rsidP="00C34B12">
            <w:pPr>
              <w:rPr>
                <w:b/>
                <w:bCs/>
                <w:vanish/>
              </w:rPr>
            </w:pPr>
          </w:p>
        </w:tc>
        <w:tc>
          <w:tcPr>
            <w:tcW w:w="2254" w:type="dxa"/>
          </w:tcPr>
          <w:p w14:paraId="394DF62B" w14:textId="77777777" w:rsidR="004A5665" w:rsidRDefault="004A5665" w:rsidP="00C34B12">
            <w:pPr>
              <w:rPr>
                <w:b/>
                <w:bCs/>
                <w:vanish/>
              </w:rPr>
            </w:pPr>
          </w:p>
        </w:tc>
        <w:tc>
          <w:tcPr>
            <w:tcW w:w="2254" w:type="dxa"/>
          </w:tcPr>
          <w:p w14:paraId="7EE9A316" w14:textId="77777777" w:rsidR="004A5665" w:rsidRDefault="004A5665" w:rsidP="00C34B12">
            <w:pPr>
              <w:rPr>
                <w:b/>
                <w:bCs/>
                <w:vanish/>
              </w:rPr>
            </w:pPr>
          </w:p>
        </w:tc>
        <w:tc>
          <w:tcPr>
            <w:tcW w:w="2254" w:type="dxa"/>
          </w:tcPr>
          <w:p w14:paraId="64229088" w14:textId="77777777" w:rsidR="004A5665" w:rsidRDefault="004A5665" w:rsidP="00C34B12">
            <w:pPr>
              <w:rPr>
                <w:b/>
                <w:bCs/>
                <w:vanish/>
              </w:rPr>
            </w:pPr>
          </w:p>
        </w:tc>
      </w:tr>
      <w:tr w:rsidR="004A5665" w14:paraId="49E1A04A" w14:textId="77777777" w:rsidTr="00C34B12">
        <w:trPr>
          <w:hidden/>
        </w:trPr>
        <w:tc>
          <w:tcPr>
            <w:tcW w:w="2254" w:type="dxa"/>
          </w:tcPr>
          <w:p w14:paraId="790FF98A" w14:textId="77777777" w:rsidR="004A5665" w:rsidRDefault="004A5665" w:rsidP="00C34B12">
            <w:pPr>
              <w:rPr>
                <w:b/>
                <w:bCs/>
                <w:vanish/>
              </w:rPr>
            </w:pPr>
          </w:p>
        </w:tc>
        <w:tc>
          <w:tcPr>
            <w:tcW w:w="2254" w:type="dxa"/>
          </w:tcPr>
          <w:p w14:paraId="74E5098F" w14:textId="77777777" w:rsidR="004A5665" w:rsidRDefault="004A5665" w:rsidP="00C34B12">
            <w:pPr>
              <w:rPr>
                <w:b/>
                <w:bCs/>
                <w:vanish/>
              </w:rPr>
            </w:pPr>
          </w:p>
        </w:tc>
        <w:tc>
          <w:tcPr>
            <w:tcW w:w="2254" w:type="dxa"/>
          </w:tcPr>
          <w:p w14:paraId="11AC987B" w14:textId="77777777" w:rsidR="004A5665" w:rsidRDefault="004A5665" w:rsidP="00C34B12">
            <w:pPr>
              <w:rPr>
                <w:b/>
                <w:bCs/>
                <w:vanish/>
              </w:rPr>
            </w:pPr>
          </w:p>
        </w:tc>
        <w:tc>
          <w:tcPr>
            <w:tcW w:w="2254" w:type="dxa"/>
          </w:tcPr>
          <w:p w14:paraId="25625EF5" w14:textId="77777777" w:rsidR="004A5665" w:rsidRDefault="004A5665" w:rsidP="00C34B12">
            <w:pPr>
              <w:rPr>
                <w:b/>
                <w:bCs/>
                <w:vanish/>
              </w:rPr>
            </w:pPr>
          </w:p>
        </w:tc>
      </w:tr>
      <w:tr w:rsidR="004A5665" w14:paraId="042F1002" w14:textId="77777777" w:rsidTr="00C34B12">
        <w:trPr>
          <w:hidden/>
        </w:trPr>
        <w:tc>
          <w:tcPr>
            <w:tcW w:w="2254" w:type="dxa"/>
          </w:tcPr>
          <w:p w14:paraId="6FCF1511" w14:textId="77777777" w:rsidR="004A5665" w:rsidRDefault="004A5665" w:rsidP="00C34B12">
            <w:pPr>
              <w:rPr>
                <w:b/>
                <w:bCs/>
                <w:vanish/>
              </w:rPr>
            </w:pPr>
          </w:p>
        </w:tc>
        <w:tc>
          <w:tcPr>
            <w:tcW w:w="2254" w:type="dxa"/>
          </w:tcPr>
          <w:p w14:paraId="76681360" w14:textId="77777777" w:rsidR="004A5665" w:rsidRDefault="004A5665" w:rsidP="00C34B12">
            <w:pPr>
              <w:rPr>
                <w:b/>
                <w:bCs/>
                <w:vanish/>
              </w:rPr>
            </w:pPr>
          </w:p>
        </w:tc>
        <w:tc>
          <w:tcPr>
            <w:tcW w:w="2254" w:type="dxa"/>
          </w:tcPr>
          <w:p w14:paraId="11BC40CA" w14:textId="77777777" w:rsidR="004A5665" w:rsidRDefault="004A5665" w:rsidP="00C34B12">
            <w:pPr>
              <w:rPr>
                <w:b/>
                <w:bCs/>
                <w:vanish/>
              </w:rPr>
            </w:pPr>
          </w:p>
        </w:tc>
        <w:tc>
          <w:tcPr>
            <w:tcW w:w="2254" w:type="dxa"/>
          </w:tcPr>
          <w:p w14:paraId="7E0E430C" w14:textId="77777777" w:rsidR="004A5665" w:rsidRDefault="004A5665" w:rsidP="00C34B12">
            <w:pPr>
              <w:rPr>
                <w:b/>
                <w:bCs/>
                <w:vanish/>
              </w:rPr>
            </w:pPr>
          </w:p>
        </w:tc>
      </w:tr>
      <w:tr w:rsidR="004A5665" w14:paraId="53FD1979" w14:textId="77777777" w:rsidTr="00C34B12">
        <w:trPr>
          <w:hidden/>
        </w:trPr>
        <w:tc>
          <w:tcPr>
            <w:tcW w:w="2254" w:type="dxa"/>
          </w:tcPr>
          <w:p w14:paraId="1C85DEE4" w14:textId="77777777" w:rsidR="004A5665" w:rsidRDefault="004A5665" w:rsidP="00C34B12">
            <w:pPr>
              <w:rPr>
                <w:b/>
                <w:bCs/>
                <w:vanish/>
              </w:rPr>
            </w:pPr>
          </w:p>
        </w:tc>
        <w:tc>
          <w:tcPr>
            <w:tcW w:w="2254" w:type="dxa"/>
          </w:tcPr>
          <w:p w14:paraId="56C49337" w14:textId="77777777" w:rsidR="004A5665" w:rsidRDefault="004A5665" w:rsidP="00C34B12">
            <w:pPr>
              <w:rPr>
                <w:b/>
                <w:bCs/>
                <w:vanish/>
              </w:rPr>
            </w:pPr>
          </w:p>
        </w:tc>
        <w:tc>
          <w:tcPr>
            <w:tcW w:w="2254" w:type="dxa"/>
          </w:tcPr>
          <w:p w14:paraId="4E507C45" w14:textId="77777777" w:rsidR="004A5665" w:rsidRDefault="004A5665" w:rsidP="00C34B12">
            <w:pPr>
              <w:rPr>
                <w:b/>
                <w:bCs/>
                <w:vanish/>
              </w:rPr>
            </w:pPr>
          </w:p>
        </w:tc>
        <w:tc>
          <w:tcPr>
            <w:tcW w:w="2254" w:type="dxa"/>
          </w:tcPr>
          <w:p w14:paraId="00BC545D" w14:textId="77777777" w:rsidR="004A5665" w:rsidRDefault="004A5665" w:rsidP="00C34B12">
            <w:pPr>
              <w:rPr>
                <w:b/>
                <w:bCs/>
                <w:vanish/>
              </w:rPr>
            </w:pPr>
          </w:p>
        </w:tc>
      </w:tr>
      <w:tr w:rsidR="004A5665" w14:paraId="29345A46" w14:textId="77777777" w:rsidTr="00C34B12">
        <w:trPr>
          <w:hidden/>
        </w:trPr>
        <w:tc>
          <w:tcPr>
            <w:tcW w:w="2254" w:type="dxa"/>
          </w:tcPr>
          <w:p w14:paraId="2FC71ECF" w14:textId="77777777" w:rsidR="004A5665" w:rsidRDefault="004A5665" w:rsidP="00C34B12">
            <w:pPr>
              <w:rPr>
                <w:b/>
                <w:bCs/>
                <w:vanish/>
              </w:rPr>
            </w:pPr>
          </w:p>
        </w:tc>
        <w:tc>
          <w:tcPr>
            <w:tcW w:w="2254" w:type="dxa"/>
          </w:tcPr>
          <w:p w14:paraId="04F5C711" w14:textId="77777777" w:rsidR="004A5665" w:rsidRDefault="004A5665" w:rsidP="00C34B12">
            <w:pPr>
              <w:rPr>
                <w:b/>
                <w:bCs/>
                <w:vanish/>
              </w:rPr>
            </w:pPr>
          </w:p>
        </w:tc>
        <w:tc>
          <w:tcPr>
            <w:tcW w:w="2254" w:type="dxa"/>
          </w:tcPr>
          <w:p w14:paraId="63E27ED0" w14:textId="77777777" w:rsidR="004A5665" w:rsidRDefault="004A5665" w:rsidP="00C34B12">
            <w:pPr>
              <w:rPr>
                <w:b/>
                <w:bCs/>
                <w:vanish/>
              </w:rPr>
            </w:pPr>
          </w:p>
        </w:tc>
        <w:tc>
          <w:tcPr>
            <w:tcW w:w="2254" w:type="dxa"/>
          </w:tcPr>
          <w:p w14:paraId="0327CEC7" w14:textId="77777777" w:rsidR="004A5665" w:rsidRDefault="004A5665" w:rsidP="00C34B12">
            <w:pPr>
              <w:rPr>
                <w:b/>
                <w:bCs/>
                <w:vanish/>
              </w:rPr>
            </w:pPr>
          </w:p>
        </w:tc>
      </w:tr>
    </w:tbl>
    <w:p w14:paraId="5877E8D3" w14:textId="77777777" w:rsidR="004A5665" w:rsidRPr="00CB2C19" w:rsidRDefault="004A5665" w:rsidP="004A5665">
      <w:pPr>
        <w:rPr>
          <w:b/>
          <w:bCs/>
          <w:vanish/>
        </w:rPr>
      </w:pPr>
    </w:p>
    <w:tbl>
      <w:tblPr>
        <w:tblStyle w:val="TableGrid"/>
        <w:tblW w:w="9776" w:type="dxa"/>
        <w:tblLook w:val="04A0" w:firstRow="1" w:lastRow="0" w:firstColumn="1" w:lastColumn="0" w:noHBand="0" w:noVBand="1"/>
      </w:tblPr>
      <w:tblGrid>
        <w:gridCol w:w="2781"/>
        <w:gridCol w:w="2056"/>
        <w:gridCol w:w="2388"/>
        <w:gridCol w:w="2551"/>
      </w:tblGrid>
      <w:tr w:rsidR="004A5665" w:rsidRPr="009C6A3D" w14:paraId="082E0179" w14:textId="77777777" w:rsidTr="00C34B12">
        <w:tc>
          <w:tcPr>
            <w:tcW w:w="278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4A5665" w:rsidRPr="00CB2C19" w14:paraId="2CC022B1" w14:textId="77777777" w:rsidTr="00C34B12">
              <w:trPr>
                <w:tblCellSpacing w:w="15" w:type="dxa"/>
              </w:trPr>
              <w:tc>
                <w:tcPr>
                  <w:tcW w:w="0" w:type="auto"/>
                  <w:vAlign w:val="center"/>
                  <w:hideMark/>
                </w:tcPr>
                <w:p w14:paraId="0B2BDCBE" w14:textId="77777777" w:rsidR="004A5665" w:rsidRPr="00CB2C19" w:rsidRDefault="004A5665" w:rsidP="00C34B12">
                  <w:pPr>
                    <w:spacing w:after="0" w:line="240" w:lineRule="auto"/>
                    <w:rPr>
                      <w:rFonts w:ascii="Times New Roman" w:hAnsi="Times New Roman" w:cs="Times New Roman"/>
                      <w:b/>
                      <w:bCs/>
                      <w:sz w:val="24"/>
                      <w:szCs w:val="24"/>
                    </w:rPr>
                  </w:pPr>
                  <w:r w:rsidRPr="00CB2C19">
                    <w:rPr>
                      <w:rFonts w:ascii="Times New Roman" w:hAnsi="Times New Roman" w:cs="Times New Roman"/>
                      <w:b/>
                      <w:bCs/>
                      <w:sz w:val="24"/>
                      <w:szCs w:val="24"/>
                    </w:rPr>
                    <w:t>Category</w:t>
                  </w:r>
                </w:p>
              </w:tc>
            </w:tr>
          </w:tbl>
          <w:p w14:paraId="61FFA695" w14:textId="77777777" w:rsidR="004A5665" w:rsidRPr="00CB2C19" w:rsidRDefault="004A5665" w:rsidP="00C34B12">
            <w:pPr>
              <w:rPr>
                <w:rFonts w:ascii="Times New Roman" w:hAnsi="Times New Roman" w:cs="Times New Roman"/>
                <w:b/>
                <w:bCs/>
                <w:vanish/>
                <w:sz w:val="24"/>
                <w:szCs w:val="24"/>
              </w:rPr>
            </w:pPr>
          </w:p>
          <w:p w14:paraId="27A68A81" w14:textId="77777777" w:rsidR="004A5665" w:rsidRPr="00CB2C19" w:rsidRDefault="004A5665" w:rsidP="00C34B12">
            <w:pPr>
              <w:rPr>
                <w:rFonts w:ascii="Times New Roman" w:hAnsi="Times New Roman" w:cs="Times New Roman"/>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A5665" w:rsidRPr="00CB2C19" w14:paraId="48763962" w14:textId="77777777" w:rsidTr="00C34B12">
              <w:trPr>
                <w:tblCellSpacing w:w="15" w:type="dxa"/>
              </w:trPr>
              <w:tc>
                <w:tcPr>
                  <w:tcW w:w="0" w:type="auto"/>
                  <w:vAlign w:val="center"/>
                  <w:hideMark/>
                </w:tcPr>
                <w:p w14:paraId="3B1C51AD" w14:textId="77777777" w:rsidR="004A5665" w:rsidRPr="00CB2C19" w:rsidRDefault="004A5665" w:rsidP="00C34B12">
                  <w:pPr>
                    <w:spacing w:after="0" w:line="240" w:lineRule="auto"/>
                    <w:rPr>
                      <w:rFonts w:ascii="Times New Roman" w:hAnsi="Times New Roman" w:cs="Times New Roman"/>
                      <w:b/>
                      <w:bCs/>
                      <w:sz w:val="24"/>
                      <w:szCs w:val="24"/>
                    </w:rPr>
                  </w:pPr>
                </w:p>
              </w:tc>
            </w:tr>
          </w:tbl>
          <w:p w14:paraId="7A842EC7" w14:textId="77777777" w:rsidR="004A5665" w:rsidRPr="00CB2C19" w:rsidRDefault="004A5665" w:rsidP="00C34B12">
            <w:pPr>
              <w:rPr>
                <w:rFonts w:ascii="Times New Roman" w:hAnsi="Times New Roman" w:cs="Times New Roman"/>
                <w:b/>
                <w:bCs/>
                <w:vanish/>
                <w:sz w:val="24"/>
                <w:szCs w:val="24"/>
              </w:rPr>
            </w:pPr>
          </w:p>
          <w:p w14:paraId="3C0381C1" w14:textId="77777777" w:rsidR="004A5665" w:rsidRPr="009C6A3D" w:rsidRDefault="004A5665" w:rsidP="00C34B12">
            <w:pPr>
              <w:rPr>
                <w:rFonts w:ascii="Times New Roman" w:hAnsi="Times New Roman" w:cs="Times New Roman"/>
                <w:b/>
                <w:bCs/>
                <w:sz w:val="24"/>
                <w:szCs w:val="24"/>
              </w:rPr>
            </w:pPr>
          </w:p>
        </w:tc>
        <w:tc>
          <w:tcPr>
            <w:tcW w:w="20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4A5665" w:rsidRPr="00CB2C19" w14:paraId="1D63214D" w14:textId="77777777" w:rsidTr="00C34B12">
              <w:trPr>
                <w:tblCellSpacing w:w="15" w:type="dxa"/>
              </w:trPr>
              <w:tc>
                <w:tcPr>
                  <w:tcW w:w="0" w:type="auto"/>
                  <w:vAlign w:val="center"/>
                  <w:hideMark/>
                </w:tcPr>
                <w:p w14:paraId="6D958D85" w14:textId="77777777" w:rsidR="004A5665" w:rsidRPr="00CB2C19" w:rsidRDefault="004A5665" w:rsidP="00C34B12">
                  <w:pPr>
                    <w:spacing w:after="0" w:line="240" w:lineRule="auto"/>
                    <w:rPr>
                      <w:rFonts w:ascii="Times New Roman" w:hAnsi="Times New Roman" w:cs="Times New Roman"/>
                      <w:b/>
                      <w:bCs/>
                      <w:sz w:val="24"/>
                      <w:szCs w:val="24"/>
                    </w:rPr>
                  </w:pPr>
                  <w:r w:rsidRPr="00CB2C19">
                    <w:rPr>
                      <w:rFonts w:ascii="Times New Roman" w:hAnsi="Times New Roman" w:cs="Times New Roman"/>
                      <w:b/>
                      <w:bCs/>
                      <w:sz w:val="24"/>
                      <w:szCs w:val="24"/>
                    </w:rPr>
                    <w:t>Allocation (€)</w:t>
                  </w:r>
                </w:p>
              </w:tc>
            </w:tr>
          </w:tbl>
          <w:p w14:paraId="7F0155B8" w14:textId="77777777" w:rsidR="004A5665" w:rsidRPr="009C6A3D" w:rsidRDefault="004A5665" w:rsidP="00C34B12">
            <w:pPr>
              <w:rPr>
                <w:rFonts w:ascii="Times New Roman" w:hAnsi="Times New Roman" w:cs="Times New Roman"/>
                <w:b/>
                <w:bCs/>
                <w:sz w:val="24"/>
                <w:szCs w:val="24"/>
              </w:rPr>
            </w:pPr>
          </w:p>
        </w:tc>
        <w:tc>
          <w:tcPr>
            <w:tcW w:w="2388" w:type="dxa"/>
          </w:tcPr>
          <w:p w14:paraId="7142705F" w14:textId="77777777" w:rsidR="004A5665" w:rsidRPr="009C6A3D" w:rsidRDefault="004A5665" w:rsidP="00C34B12">
            <w:pPr>
              <w:rPr>
                <w:rFonts w:ascii="Times New Roman" w:hAnsi="Times New Roman" w:cs="Times New Roman"/>
                <w:b/>
                <w:bCs/>
                <w:sz w:val="24"/>
                <w:szCs w:val="24"/>
              </w:rPr>
            </w:pPr>
            <w:r w:rsidRPr="00CB2C19">
              <w:rPr>
                <w:rFonts w:ascii="Times New Roman" w:hAnsi="Times New Roman" w:cs="Times New Roman"/>
                <w:b/>
                <w:bCs/>
                <w:sz w:val="24"/>
                <w:szCs w:val="24"/>
              </w:rPr>
              <w:t>Percentage of Total Budget (%)</w:t>
            </w:r>
          </w:p>
        </w:tc>
        <w:tc>
          <w:tcPr>
            <w:tcW w:w="2551" w:type="dxa"/>
          </w:tcPr>
          <w:p w14:paraId="1CDDE885"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Purpose</w:t>
            </w:r>
          </w:p>
        </w:tc>
      </w:tr>
      <w:tr w:rsidR="004A5665" w:rsidRPr="009C6A3D" w14:paraId="78C3105F" w14:textId="77777777" w:rsidTr="00C34B12">
        <w:tc>
          <w:tcPr>
            <w:tcW w:w="2781" w:type="dxa"/>
          </w:tcPr>
          <w:p w14:paraId="67FB398D"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Data Analytics</w:t>
            </w:r>
          </w:p>
        </w:tc>
        <w:tc>
          <w:tcPr>
            <w:tcW w:w="2056" w:type="dxa"/>
          </w:tcPr>
          <w:p w14:paraId="2BDBB1B6"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50,000</w:t>
            </w:r>
            <w:r w:rsidRPr="008600CB">
              <w:rPr>
                <w:rFonts w:ascii="Times New Roman" w:hAnsi="Times New Roman" w:cs="Times New Roman"/>
                <w:sz w:val="24"/>
                <w:szCs w:val="24"/>
              </w:rPr>
              <w:t>(€)</w:t>
            </w:r>
          </w:p>
        </w:tc>
        <w:tc>
          <w:tcPr>
            <w:tcW w:w="2388" w:type="dxa"/>
          </w:tcPr>
          <w:p w14:paraId="263D64A4"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28.57</w:t>
            </w:r>
          </w:p>
        </w:tc>
        <w:tc>
          <w:tcPr>
            <w:tcW w:w="2551" w:type="dxa"/>
          </w:tcPr>
          <w:p w14:paraId="1C4AB309" w14:textId="77777777" w:rsidR="004A5665" w:rsidRPr="009C6A3D" w:rsidRDefault="004A5665" w:rsidP="00C34B12">
            <w:pPr>
              <w:rPr>
                <w:rFonts w:ascii="Times New Roman" w:hAnsi="Times New Roman" w:cs="Times New Roman"/>
                <w:sz w:val="24"/>
                <w:szCs w:val="24"/>
              </w:rPr>
            </w:pPr>
            <w:r w:rsidRPr="009C6A3D">
              <w:rPr>
                <w:rFonts w:ascii="Times New Roman" w:hAnsi="Times New Roman" w:cs="Times New Roman"/>
                <w:sz w:val="24"/>
                <w:szCs w:val="24"/>
              </w:rPr>
              <w:t>Expenditure on consumer information and prediction technologies for segmentation.</w:t>
            </w:r>
          </w:p>
        </w:tc>
      </w:tr>
      <w:tr w:rsidR="004A5665" w:rsidRPr="009C6A3D" w14:paraId="0EE07823" w14:textId="77777777" w:rsidTr="00C34B12">
        <w:tc>
          <w:tcPr>
            <w:tcW w:w="2781" w:type="dxa"/>
          </w:tcPr>
          <w:p w14:paraId="6E57FDE0"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Marketing Initiatives</w:t>
            </w:r>
          </w:p>
        </w:tc>
        <w:tc>
          <w:tcPr>
            <w:tcW w:w="2056" w:type="dxa"/>
          </w:tcPr>
          <w:p w14:paraId="40B373D6"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70,000</w:t>
            </w:r>
            <w:r w:rsidRPr="008600CB">
              <w:rPr>
                <w:rFonts w:ascii="Times New Roman" w:hAnsi="Times New Roman" w:cs="Times New Roman"/>
                <w:sz w:val="24"/>
                <w:szCs w:val="24"/>
              </w:rPr>
              <w:t>(€)</w:t>
            </w:r>
          </w:p>
        </w:tc>
        <w:tc>
          <w:tcPr>
            <w:tcW w:w="2388" w:type="dxa"/>
          </w:tcPr>
          <w:p w14:paraId="3F6F9D27"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40.00</w:t>
            </w:r>
          </w:p>
        </w:tc>
        <w:tc>
          <w:tcPr>
            <w:tcW w:w="2551" w:type="dxa"/>
          </w:tcPr>
          <w:p w14:paraId="37ECB4CA" w14:textId="77777777" w:rsidR="004A5665" w:rsidRPr="009C6A3D" w:rsidRDefault="004A5665" w:rsidP="00C34B12">
            <w:pPr>
              <w:rPr>
                <w:rFonts w:ascii="Times New Roman" w:hAnsi="Times New Roman" w:cs="Times New Roman"/>
                <w:sz w:val="24"/>
                <w:szCs w:val="24"/>
              </w:rPr>
            </w:pPr>
            <w:r w:rsidRPr="009C6A3D">
              <w:rPr>
                <w:rFonts w:ascii="Times New Roman" w:hAnsi="Times New Roman" w:cs="Times New Roman"/>
                <w:sz w:val="24"/>
                <w:szCs w:val="24"/>
              </w:rPr>
              <w:t>Development and implementation of advertising campaigns in digital media.</w:t>
            </w:r>
          </w:p>
        </w:tc>
      </w:tr>
      <w:tr w:rsidR="004A5665" w:rsidRPr="009C6A3D" w14:paraId="52329EB2" w14:textId="77777777" w:rsidTr="00C34B12">
        <w:tc>
          <w:tcPr>
            <w:tcW w:w="2781" w:type="dxa"/>
          </w:tcPr>
          <w:p w14:paraId="546D8685"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Process Development</w:t>
            </w:r>
          </w:p>
        </w:tc>
        <w:tc>
          <w:tcPr>
            <w:tcW w:w="2056" w:type="dxa"/>
          </w:tcPr>
          <w:p w14:paraId="08CE71D0"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30,000</w:t>
            </w:r>
            <w:r w:rsidRPr="008600CB">
              <w:rPr>
                <w:rFonts w:ascii="Times New Roman" w:hAnsi="Times New Roman" w:cs="Times New Roman"/>
                <w:sz w:val="24"/>
                <w:szCs w:val="24"/>
              </w:rPr>
              <w:t>(€)</w:t>
            </w:r>
          </w:p>
        </w:tc>
        <w:tc>
          <w:tcPr>
            <w:tcW w:w="2388" w:type="dxa"/>
          </w:tcPr>
          <w:p w14:paraId="72F0F5B4"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17.14</w:t>
            </w:r>
          </w:p>
        </w:tc>
        <w:tc>
          <w:tcPr>
            <w:tcW w:w="2551" w:type="dxa"/>
          </w:tcPr>
          <w:p w14:paraId="210EDCA0" w14:textId="77777777" w:rsidR="004A5665" w:rsidRPr="009C6A3D" w:rsidRDefault="004A5665" w:rsidP="00C34B12">
            <w:pPr>
              <w:rPr>
                <w:rFonts w:ascii="Times New Roman" w:hAnsi="Times New Roman" w:cs="Times New Roman"/>
                <w:sz w:val="24"/>
                <w:szCs w:val="24"/>
              </w:rPr>
            </w:pPr>
            <w:r w:rsidRPr="009C6A3D">
              <w:rPr>
                <w:rFonts w:ascii="Times New Roman" w:hAnsi="Times New Roman" w:cs="Times New Roman"/>
                <w:sz w:val="24"/>
                <w:szCs w:val="24"/>
              </w:rPr>
              <w:t>Training and customer service procedures are being updated to accommodate new items.</w:t>
            </w:r>
          </w:p>
        </w:tc>
      </w:tr>
      <w:tr w:rsidR="004A5665" w:rsidRPr="009C6A3D" w14:paraId="491D701A" w14:textId="77777777" w:rsidTr="00C34B12">
        <w:tc>
          <w:tcPr>
            <w:tcW w:w="2781" w:type="dxa"/>
          </w:tcPr>
          <w:p w14:paraId="7AFEF1D2"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Regulatory Compliance</w:t>
            </w:r>
          </w:p>
        </w:tc>
        <w:tc>
          <w:tcPr>
            <w:tcW w:w="2056" w:type="dxa"/>
          </w:tcPr>
          <w:p w14:paraId="218FF95B"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25,000</w:t>
            </w:r>
            <w:r w:rsidRPr="008600CB">
              <w:rPr>
                <w:rFonts w:ascii="Times New Roman" w:hAnsi="Times New Roman" w:cs="Times New Roman"/>
                <w:sz w:val="24"/>
                <w:szCs w:val="24"/>
              </w:rPr>
              <w:t>(€)</w:t>
            </w:r>
          </w:p>
        </w:tc>
        <w:tc>
          <w:tcPr>
            <w:tcW w:w="2388" w:type="dxa"/>
          </w:tcPr>
          <w:p w14:paraId="2B5DD979"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14.29</w:t>
            </w:r>
          </w:p>
        </w:tc>
        <w:tc>
          <w:tcPr>
            <w:tcW w:w="2551" w:type="dxa"/>
          </w:tcPr>
          <w:p w14:paraId="4A6CC063" w14:textId="77777777" w:rsidR="004A5665" w:rsidRPr="009C6A3D" w:rsidRDefault="004A5665" w:rsidP="00C34B12">
            <w:pPr>
              <w:rPr>
                <w:rFonts w:ascii="Times New Roman" w:hAnsi="Times New Roman" w:cs="Times New Roman"/>
                <w:sz w:val="24"/>
                <w:szCs w:val="24"/>
              </w:rPr>
            </w:pPr>
            <w:r w:rsidRPr="009C6A3D">
              <w:rPr>
                <w:rFonts w:ascii="Times New Roman" w:hAnsi="Times New Roman" w:cs="Times New Roman"/>
                <w:sz w:val="24"/>
                <w:szCs w:val="24"/>
              </w:rPr>
              <w:t>Creating paperwork and making sure neutrality rules are followed.</w:t>
            </w:r>
          </w:p>
        </w:tc>
      </w:tr>
      <w:tr w:rsidR="004A5665" w:rsidRPr="009C6A3D" w14:paraId="1954CA58" w14:textId="77777777" w:rsidTr="00C34B12">
        <w:tc>
          <w:tcPr>
            <w:tcW w:w="2781" w:type="dxa"/>
          </w:tcPr>
          <w:p w14:paraId="096282FE"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Contingency Reserve</w:t>
            </w:r>
          </w:p>
        </w:tc>
        <w:tc>
          <w:tcPr>
            <w:tcW w:w="2056" w:type="dxa"/>
          </w:tcPr>
          <w:p w14:paraId="2348132E"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10,000</w:t>
            </w:r>
            <w:r w:rsidRPr="008600CB">
              <w:rPr>
                <w:rFonts w:ascii="Times New Roman" w:hAnsi="Times New Roman" w:cs="Times New Roman"/>
                <w:sz w:val="24"/>
                <w:szCs w:val="24"/>
              </w:rPr>
              <w:t>(€)</w:t>
            </w:r>
          </w:p>
        </w:tc>
        <w:tc>
          <w:tcPr>
            <w:tcW w:w="2388" w:type="dxa"/>
          </w:tcPr>
          <w:p w14:paraId="1F149B70" w14:textId="77777777" w:rsidR="004A5665" w:rsidRPr="009C6A3D" w:rsidRDefault="004A5665" w:rsidP="00C34B12">
            <w:pPr>
              <w:jc w:val="center"/>
              <w:rPr>
                <w:rFonts w:ascii="Times New Roman" w:hAnsi="Times New Roman" w:cs="Times New Roman"/>
                <w:sz w:val="24"/>
                <w:szCs w:val="24"/>
              </w:rPr>
            </w:pPr>
            <w:r w:rsidRPr="009C6A3D">
              <w:rPr>
                <w:rFonts w:ascii="Times New Roman" w:hAnsi="Times New Roman" w:cs="Times New Roman"/>
                <w:sz w:val="24"/>
                <w:szCs w:val="24"/>
              </w:rPr>
              <w:t>5.71</w:t>
            </w:r>
          </w:p>
        </w:tc>
        <w:tc>
          <w:tcPr>
            <w:tcW w:w="2551" w:type="dxa"/>
          </w:tcPr>
          <w:p w14:paraId="749BD55A" w14:textId="77777777" w:rsidR="004A5665" w:rsidRPr="009C6A3D" w:rsidRDefault="004A5665" w:rsidP="00C34B12">
            <w:pPr>
              <w:rPr>
                <w:rFonts w:ascii="Times New Roman" w:hAnsi="Times New Roman" w:cs="Times New Roman"/>
                <w:sz w:val="24"/>
                <w:szCs w:val="24"/>
              </w:rPr>
            </w:pPr>
            <w:r w:rsidRPr="009C6A3D">
              <w:rPr>
                <w:rFonts w:ascii="Times New Roman" w:hAnsi="Times New Roman" w:cs="Times New Roman"/>
                <w:sz w:val="24"/>
                <w:szCs w:val="24"/>
              </w:rPr>
              <w:t>Addressing possibilities or unanticipated costs throughout the campaign.</w:t>
            </w:r>
          </w:p>
        </w:tc>
      </w:tr>
      <w:tr w:rsidR="004A5665" w:rsidRPr="009C6A3D" w14:paraId="78420E91" w14:textId="77777777" w:rsidTr="00C34B12">
        <w:trPr>
          <w:gridAfter w:val="1"/>
          <w:wAfter w:w="2551" w:type="dxa"/>
          <w:trHeight w:val="594"/>
        </w:trPr>
        <w:tc>
          <w:tcPr>
            <w:tcW w:w="2781" w:type="dxa"/>
          </w:tcPr>
          <w:p w14:paraId="64E35421" w14:textId="77777777" w:rsidR="004A5665" w:rsidRPr="009C6A3D" w:rsidRDefault="004A5665" w:rsidP="00C34B12">
            <w:pPr>
              <w:rPr>
                <w:rFonts w:ascii="Times New Roman" w:hAnsi="Times New Roman" w:cs="Times New Roman"/>
                <w:b/>
                <w:bCs/>
                <w:sz w:val="24"/>
                <w:szCs w:val="24"/>
              </w:rPr>
            </w:pPr>
            <w:r w:rsidRPr="009C6A3D">
              <w:rPr>
                <w:rFonts w:ascii="Times New Roman" w:hAnsi="Times New Roman" w:cs="Times New Roman"/>
                <w:b/>
                <w:bCs/>
                <w:sz w:val="24"/>
                <w:szCs w:val="24"/>
              </w:rPr>
              <w:t>Total</w:t>
            </w:r>
          </w:p>
        </w:tc>
        <w:tc>
          <w:tcPr>
            <w:tcW w:w="2056" w:type="dxa"/>
          </w:tcPr>
          <w:p w14:paraId="001F5EBE" w14:textId="77777777" w:rsidR="004A5665" w:rsidRPr="009C6A3D" w:rsidRDefault="004A5665" w:rsidP="00C34B12">
            <w:pPr>
              <w:jc w:val="center"/>
              <w:rPr>
                <w:rFonts w:ascii="Times New Roman" w:hAnsi="Times New Roman" w:cs="Times New Roman"/>
                <w:b/>
                <w:bCs/>
                <w:sz w:val="24"/>
                <w:szCs w:val="24"/>
              </w:rPr>
            </w:pPr>
            <w:r w:rsidRPr="009C6A3D">
              <w:rPr>
                <w:rFonts w:ascii="Times New Roman" w:hAnsi="Times New Roman" w:cs="Times New Roman"/>
                <w:b/>
                <w:bCs/>
                <w:sz w:val="24"/>
                <w:szCs w:val="24"/>
              </w:rPr>
              <w:t>175,000</w:t>
            </w:r>
            <w:r w:rsidRPr="00CB2C19">
              <w:rPr>
                <w:rFonts w:ascii="Times New Roman" w:hAnsi="Times New Roman" w:cs="Times New Roman"/>
                <w:b/>
                <w:bCs/>
                <w:sz w:val="24"/>
                <w:szCs w:val="24"/>
              </w:rPr>
              <w:t>(€)</w:t>
            </w:r>
          </w:p>
        </w:tc>
        <w:tc>
          <w:tcPr>
            <w:tcW w:w="2388" w:type="dxa"/>
          </w:tcPr>
          <w:p w14:paraId="4E824FF3" w14:textId="77777777" w:rsidR="004A5665" w:rsidRPr="009C6A3D" w:rsidRDefault="004A5665" w:rsidP="00C34B12">
            <w:pPr>
              <w:jc w:val="center"/>
              <w:rPr>
                <w:rFonts w:ascii="Times New Roman" w:hAnsi="Times New Roman" w:cs="Times New Roman"/>
                <w:b/>
                <w:bCs/>
                <w:sz w:val="24"/>
                <w:szCs w:val="24"/>
              </w:rPr>
            </w:pPr>
            <w:r w:rsidRPr="009C6A3D">
              <w:rPr>
                <w:rFonts w:ascii="Times New Roman" w:hAnsi="Times New Roman" w:cs="Times New Roman"/>
                <w:b/>
                <w:bCs/>
                <w:sz w:val="24"/>
                <w:szCs w:val="24"/>
              </w:rPr>
              <w:t>100.00</w:t>
            </w:r>
          </w:p>
        </w:tc>
      </w:tr>
    </w:tbl>
    <w:p w14:paraId="1935D17B" w14:textId="77777777" w:rsidR="004A5665" w:rsidRPr="00212206" w:rsidRDefault="004A5665" w:rsidP="004A5665">
      <w:pPr>
        <w:rPr>
          <w:b/>
          <w:bCs/>
        </w:rPr>
      </w:pPr>
    </w:p>
    <w:p w14:paraId="40B21873" w14:textId="77777777" w:rsidR="004A5665" w:rsidRPr="009C6A3D" w:rsidRDefault="004A5665" w:rsidP="004A5665">
      <w:pPr>
        <w:jc w:val="both"/>
        <w:rPr>
          <w:rFonts w:ascii="Times New Roman" w:hAnsi="Times New Roman" w:cs="Times New Roman"/>
          <w:b/>
          <w:bCs/>
          <w:sz w:val="24"/>
          <w:szCs w:val="24"/>
        </w:rPr>
      </w:pPr>
      <w:r w:rsidRPr="00212206">
        <w:rPr>
          <w:rFonts w:ascii="Times New Roman" w:hAnsi="Times New Roman" w:cs="Times New Roman"/>
          <w:b/>
          <w:bCs/>
          <w:sz w:val="24"/>
          <w:szCs w:val="24"/>
        </w:rPr>
        <w:t xml:space="preserve">1. </w:t>
      </w:r>
      <w:r w:rsidRPr="009C6A3D">
        <w:rPr>
          <w:rFonts w:ascii="Times New Roman" w:hAnsi="Times New Roman" w:cs="Times New Roman"/>
          <w:b/>
          <w:bCs/>
          <w:sz w:val="24"/>
          <w:szCs w:val="24"/>
        </w:rPr>
        <w:t>Data Analytics (€50,000):</w:t>
      </w:r>
    </w:p>
    <w:p w14:paraId="0B60D989" w14:textId="77777777" w:rsidR="004A5665" w:rsidRPr="005348AC" w:rsidRDefault="004A5665" w:rsidP="004A5665">
      <w:pPr>
        <w:pStyle w:val="ListParagraph"/>
        <w:numPr>
          <w:ilvl w:val="0"/>
          <w:numId w:val="8"/>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lastRenderedPageBreak/>
        <w:t>Aim:</w:t>
      </w:r>
      <w:r w:rsidRPr="005348AC">
        <w:rPr>
          <w:rFonts w:ascii="Times New Roman" w:hAnsi="Times New Roman" w:cs="Times New Roman"/>
          <w:sz w:val="24"/>
          <w:szCs w:val="24"/>
        </w:rPr>
        <w:t xml:space="preserve"> </w:t>
      </w:r>
      <w:r w:rsidRPr="003778E8">
        <w:rPr>
          <w:rFonts w:ascii="Times New Roman" w:hAnsi="Times New Roman" w:cs="Times New Roman"/>
          <w:sz w:val="24"/>
          <w:szCs w:val="24"/>
        </w:rPr>
        <w:t xml:space="preserve">To optimise client segmentation and to understand audience </w:t>
      </w:r>
      <w:proofErr w:type="spellStart"/>
      <w:r w:rsidRPr="003778E8">
        <w:rPr>
          <w:rFonts w:ascii="Times New Roman" w:hAnsi="Times New Roman" w:cs="Times New Roman"/>
          <w:sz w:val="24"/>
          <w:szCs w:val="24"/>
        </w:rPr>
        <w:t>behavior</w:t>
      </w:r>
      <w:proofErr w:type="spellEnd"/>
      <w:r w:rsidRPr="003778E8">
        <w:rPr>
          <w:rFonts w:ascii="Times New Roman" w:hAnsi="Times New Roman" w:cs="Times New Roman"/>
          <w:sz w:val="24"/>
          <w:szCs w:val="24"/>
        </w:rPr>
        <w:t xml:space="preserve"> (when predictive analytic techniques is applied).</w:t>
      </w:r>
    </w:p>
    <w:p w14:paraId="1D860383" w14:textId="77777777" w:rsidR="004A5665" w:rsidRPr="0044245B" w:rsidRDefault="004A5665" w:rsidP="004A5665">
      <w:pPr>
        <w:pStyle w:val="ListParagraph"/>
        <w:numPr>
          <w:ilvl w:val="0"/>
          <w:numId w:val="8"/>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3941688B" w14:textId="77777777" w:rsidR="004A5665" w:rsidRDefault="004A5665" w:rsidP="004A5665">
      <w:pPr>
        <w:pStyle w:val="NormalWeb"/>
        <w:numPr>
          <w:ilvl w:val="0"/>
          <w:numId w:val="14"/>
        </w:numPr>
      </w:pPr>
      <w:r>
        <w:t>Obtaining or enhancing your analytic software.</w:t>
      </w:r>
    </w:p>
    <w:p w14:paraId="1D547FEE" w14:textId="77777777" w:rsidR="004A5665" w:rsidRDefault="004A5665" w:rsidP="004A5665">
      <w:pPr>
        <w:pStyle w:val="NormalWeb"/>
        <w:numPr>
          <w:ilvl w:val="0"/>
          <w:numId w:val="14"/>
        </w:numPr>
      </w:pPr>
      <w:r>
        <w:t xml:space="preserve"> Employing or partnering data shape-analysers to catch the patterns in purchases.</w:t>
      </w:r>
    </w:p>
    <w:p w14:paraId="4DBC825C" w14:textId="77777777" w:rsidR="004A5665" w:rsidRDefault="004A5665" w:rsidP="004A5665">
      <w:pPr>
        <w:pStyle w:val="NormalWeb"/>
        <w:numPr>
          <w:ilvl w:val="0"/>
          <w:numId w:val="14"/>
        </w:numPr>
      </w:pPr>
      <w:r>
        <w:t xml:space="preserve"> Research provides insights for obtaining the target and eventual customers.</w:t>
      </w:r>
    </w:p>
    <w:p w14:paraId="53E1E667" w14:textId="77777777" w:rsidR="004A5665" w:rsidRPr="00B1191F" w:rsidRDefault="004A5665" w:rsidP="004A5665">
      <w:pPr>
        <w:pStyle w:val="ListParagraph"/>
        <w:numPr>
          <w:ilvl w:val="0"/>
          <w:numId w:val="9"/>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Impact:</w:t>
      </w:r>
      <w:r w:rsidRPr="005348AC">
        <w:rPr>
          <w:rFonts w:ascii="Times New Roman" w:hAnsi="Times New Roman" w:cs="Times New Roman"/>
          <w:sz w:val="24"/>
          <w:szCs w:val="24"/>
        </w:rPr>
        <w:t xml:space="preserve"> Improved targeting precision, allowing for targeted and efficient marketing.</w:t>
      </w:r>
    </w:p>
    <w:p w14:paraId="1C50D53D" w14:textId="77777777" w:rsidR="004A5665" w:rsidRPr="00212206" w:rsidRDefault="004A5665" w:rsidP="004A5665">
      <w:pPr>
        <w:jc w:val="both"/>
        <w:rPr>
          <w:rFonts w:ascii="Times New Roman" w:hAnsi="Times New Roman" w:cs="Times New Roman"/>
          <w:b/>
          <w:bCs/>
          <w:sz w:val="24"/>
          <w:szCs w:val="24"/>
        </w:rPr>
      </w:pPr>
      <w:r w:rsidRPr="00212206">
        <w:rPr>
          <w:rFonts w:ascii="Times New Roman" w:hAnsi="Times New Roman" w:cs="Times New Roman"/>
          <w:b/>
          <w:bCs/>
          <w:sz w:val="24"/>
          <w:szCs w:val="24"/>
        </w:rPr>
        <w:t>2. Marketing Initiatives (€70,000)</w:t>
      </w:r>
      <w:r w:rsidRPr="009C6A3D">
        <w:rPr>
          <w:rFonts w:ascii="Times New Roman" w:hAnsi="Times New Roman" w:cs="Times New Roman"/>
          <w:b/>
          <w:bCs/>
          <w:sz w:val="24"/>
          <w:szCs w:val="24"/>
        </w:rPr>
        <w:t>:</w:t>
      </w:r>
    </w:p>
    <w:p w14:paraId="64113423" w14:textId="77777777" w:rsidR="004A5665" w:rsidRPr="005348AC" w:rsidRDefault="004A5665" w:rsidP="004A5665">
      <w:pPr>
        <w:pStyle w:val="ListParagraph"/>
        <w:numPr>
          <w:ilvl w:val="0"/>
          <w:numId w:val="10"/>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Purpose</w:t>
      </w:r>
      <w:r w:rsidRPr="005348AC">
        <w:rPr>
          <w:rFonts w:ascii="Times New Roman" w:hAnsi="Times New Roman" w:cs="Times New Roman"/>
          <w:sz w:val="24"/>
          <w:szCs w:val="24"/>
        </w:rPr>
        <w:t>: To create and execute promotional campaigns across digital platforms.</w:t>
      </w:r>
    </w:p>
    <w:p w14:paraId="030A1EA6" w14:textId="77777777" w:rsidR="004A5665" w:rsidRPr="0044245B" w:rsidRDefault="004A5665" w:rsidP="004A5665">
      <w:pPr>
        <w:pStyle w:val="ListParagraph"/>
        <w:numPr>
          <w:ilvl w:val="0"/>
          <w:numId w:val="10"/>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36468A6A" w14:textId="77777777" w:rsidR="004A5665" w:rsidRPr="005348AC" w:rsidRDefault="004A5665" w:rsidP="004A5665">
      <w:pPr>
        <w:pStyle w:val="ListParagraph"/>
        <w:numPr>
          <w:ilvl w:val="0"/>
          <w:numId w:val="5"/>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Creating original marketing material, such as infographics, videos, and social media posts.</w:t>
      </w:r>
    </w:p>
    <w:p w14:paraId="4B38E29F" w14:textId="77777777" w:rsidR="004A5665" w:rsidRPr="005348AC" w:rsidRDefault="004A5665" w:rsidP="004A5665">
      <w:pPr>
        <w:pStyle w:val="ListParagraph"/>
        <w:numPr>
          <w:ilvl w:val="0"/>
          <w:numId w:val="5"/>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Digital ad placements and social media advertising.</w:t>
      </w:r>
    </w:p>
    <w:p w14:paraId="605ABDA2" w14:textId="77777777" w:rsidR="004A5665" w:rsidRPr="005348AC" w:rsidRDefault="004A5665" w:rsidP="004A5665">
      <w:pPr>
        <w:pStyle w:val="ListParagraph"/>
        <w:numPr>
          <w:ilvl w:val="0"/>
          <w:numId w:val="5"/>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Making use of IoT systems to interact with customers in real time.</w:t>
      </w:r>
    </w:p>
    <w:p w14:paraId="1429E1D2" w14:textId="77777777" w:rsidR="004A5665" w:rsidRPr="005348AC" w:rsidRDefault="004A5665" w:rsidP="004A5665">
      <w:pPr>
        <w:pStyle w:val="ListParagraph"/>
        <w:numPr>
          <w:ilvl w:val="0"/>
          <w:numId w:val="5"/>
        </w:numPr>
        <w:spacing w:after="160" w:line="259" w:lineRule="auto"/>
        <w:jc w:val="both"/>
        <w:rPr>
          <w:rFonts w:ascii="Times New Roman" w:hAnsi="Times New Roman" w:cs="Times New Roman"/>
          <w:sz w:val="24"/>
          <w:szCs w:val="24"/>
        </w:rPr>
      </w:pPr>
      <w:r w:rsidRPr="005348AC">
        <w:rPr>
          <w:rFonts w:ascii="Times New Roman" w:hAnsi="Times New Roman" w:cs="Times New Roman"/>
          <w:sz w:val="24"/>
          <w:szCs w:val="24"/>
        </w:rPr>
        <w:t>Overseeing marketing outreach initiatives.</w:t>
      </w:r>
    </w:p>
    <w:p w14:paraId="25C8F355" w14:textId="77777777" w:rsidR="004A5665" w:rsidRPr="005348AC" w:rsidRDefault="004A5665" w:rsidP="004A5665">
      <w:pPr>
        <w:pStyle w:val="ListParagraph"/>
        <w:numPr>
          <w:ilvl w:val="0"/>
          <w:numId w:val="11"/>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Impact:</w:t>
      </w:r>
      <w:r w:rsidRPr="005348AC">
        <w:rPr>
          <w:rFonts w:ascii="Times New Roman" w:hAnsi="Times New Roman" w:cs="Times New Roman"/>
          <w:sz w:val="24"/>
          <w:szCs w:val="24"/>
        </w:rPr>
        <w:t xml:space="preserve"> Increased brand visibility and audience engagement, strengthening Go Fit’s market presence.</w:t>
      </w:r>
    </w:p>
    <w:p w14:paraId="292BC6A4" w14:textId="77777777" w:rsidR="004A5665" w:rsidRPr="00212206" w:rsidRDefault="004A5665" w:rsidP="004A5665">
      <w:pPr>
        <w:jc w:val="both"/>
        <w:rPr>
          <w:rFonts w:ascii="Times New Roman" w:hAnsi="Times New Roman" w:cs="Times New Roman"/>
          <w:b/>
          <w:bCs/>
          <w:sz w:val="24"/>
          <w:szCs w:val="24"/>
        </w:rPr>
      </w:pPr>
      <w:r w:rsidRPr="00212206">
        <w:rPr>
          <w:rFonts w:ascii="Times New Roman" w:hAnsi="Times New Roman" w:cs="Times New Roman"/>
          <w:b/>
          <w:bCs/>
          <w:sz w:val="24"/>
          <w:szCs w:val="24"/>
        </w:rPr>
        <w:t>3. Process Development (€30,000)</w:t>
      </w:r>
      <w:r w:rsidRPr="009C6A3D">
        <w:rPr>
          <w:rFonts w:ascii="Times New Roman" w:hAnsi="Times New Roman" w:cs="Times New Roman"/>
          <w:b/>
          <w:bCs/>
          <w:sz w:val="24"/>
          <w:szCs w:val="24"/>
        </w:rPr>
        <w:t>:</w:t>
      </w:r>
    </w:p>
    <w:p w14:paraId="0F70555A" w14:textId="77777777" w:rsidR="004A5665" w:rsidRPr="005348AC" w:rsidRDefault="004A5665" w:rsidP="004A5665">
      <w:pPr>
        <w:pStyle w:val="ListParagraph"/>
        <w:numPr>
          <w:ilvl w:val="0"/>
          <w:numId w:val="6"/>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Purpose:</w:t>
      </w:r>
      <w:r w:rsidRPr="005348AC">
        <w:rPr>
          <w:rFonts w:ascii="Times New Roman" w:hAnsi="Times New Roman" w:cs="Times New Roman"/>
          <w:sz w:val="24"/>
          <w:szCs w:val="24"/>
        </w:rPr>
        <w:t xml:space="preserve"> To guarantee smooth support for an enlarged product line and modernize customer service procedures.</w:t>
      </w:r>
    </w:p>
    <w:p w14:paraId="63871404" w14:textId="77777777" w:rsidR="004A5665" w:rsidRPr="0044245B" w:rsidRDefault="004A5665" w:rsidP="004A5665">
      <w:pPr>
        <w:pStyle w:val="ListParagraph"/>
        <w:numPr>
          <w:ilvl w:val="0"/>
          <w:numId w:val="6"/>
        </w:numPr>
        <w:spacing w:after="160" w:line="259" w:lineRule="auto"/>
        <w:jc w:val="both"/>
        <w:rPr>
          <w:rFonts w:ascii="Times New Roman" w:hAnsi="Times New Roman" w:cs="Times New Roman"/>
          <w:b/>
          <w:bCs/>
          <w:sz w:val="24"/>
          <w:szCs w:val="24"/>
        </w:rPr>
      </w:pPr>
      <w:r w:rsidRPr="0044245B">
        <w:rPr>
          <w:rFonts w:ascii="Times New Roman" w:hAnsi="Times New Roman" w:cs="Times New Roman"/>
          <w:b/>
          <w:bCs/>
          <w:sz w:val="24"/>
          <w:szCs w:val="24"/>
        </w:rPr>
        <w:t>Activities Covered:</w:t>
      </w:r>
    </w:p>
    <w:p w14:paraId="5017D1BE" w14:textId="77777777" w:rsidR="004A5665" w:rsidRPr="009C6A3D" w:rsidRDefault="004A5665" w:rsidP="004A5665">
      <w:pPr>
        <w:pStyle w:val="ListParagraph"/>
        <w:numPr>
          <w:ilvl w:val="0"/>
          <w:numId w:val="4"/>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Creating new documentation and procedures for customer support.</w:t>
      </w:r>
    </w:p>
    <w:p w14:paraId="3CD63C44" w14:textId="77777777" w:rsidR="004A5665" w:rsidRPr="009C6A3D" w:rsidRDefault="004A5665" w:rsidP="004A5665">
      <w:pPr>
        <w:pStyle w:val="ListParagraph"/>
        <w:numPr>
          <w:ilvl w:val="0"/>
          <w:numId w:val="4"/>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The first customer service staff training sessions.</w:t>
      </w:r>
    </w:p>
    <w:p w14:paraId="01D2D92B" w14:textId="77777777" w:rsidR="004A5665" w:rsidRPr="009C6A3D" w:rsidRDefault="004A5665" w:rsidP="004A5665">
      <w:pPr>
        <w:pStyle w:val="ListParagraph"/>
        <w:numPr>
          <w:ilvl w:val="0"/>
          <w:numId w:val="4"/>
        </w:numPr>
        <w:spacing w:after="160" w:line="259" w:lineRule="auto"/>
        <w:jc w:val="both"/>
        <w:rPr>
          <w:rFonts w:ascii="Times New Roman" w:hAnsi="Times New Roman" w:cs="Times New Roman"/>
          <w:sz w:val="24"/>
          <w:szCs w:val="24"/>
        </w:rPr>
      </w:pPr>
      <w:r w:rsidRPr="009C6A3D">
        <w:rPr>
          <w:rFonts w:ascii="Times New Roman" w:hAnsi="Times New Roman" w:cs="Times New Roman"/>
          <w:sz w:val="24"/>
          <w:szCs w:val="24"/>
        </w:rPr>
        <w:t>Streamlining operations through the integration of process modifications with IT systems.</w:t>
      </w:r>
    </w:p>
    <w:p w14:paraId="10E1FFA5" w14:textId="77777777" w:rsidR="004A5665" w:rsidRPr="005348AC" w:rsidRDefault="004A5665" w:rsidP="004A5665">
      <w:pPr>
        <w:pStyle w:val="ListParagraph"/>
        <w:numPr>
          <w:ilvl w:val="0"/>
          <w:numId w:val="7"/>
        </w:numPr>
        <w:spacing w:after="160" w:line="259" w:lineRule="auto"/>
        <w:jc w:val="both"/>
        <w:rPr>
          <w:rFonts w:ascii="Times New Roman" w:hAnsi="Times New Roman" w:cs="Times New Roman"/>
          <w:sz w:val="24"/>
          <w:szCs w:val="24"/>
        </w:rPr>
      </w:pPr>
      <w:r w:rsidRPr="0044245B">
        <w:rPr>
          <w:rFonts w:ascii="Times New Roman" w:hAnsi="Times New Roman" w:cs="Times New Roman"/>
          <w:b/>
          <w:bCs/>
          <w:sz w:val="24"/>
          <w:szCs w:val="24"/>
        </w:rPr>
        <w:t>Impact:</w:t>
      </w:r>
      <w:r w:rsidRPr="005348AC">
        <w:rPr>
          <w:rFonts w:ascii="Times New Roman" w:hAnsi="Times New Roman" w:cs="Times New Roman"/>
          <w:sz w:val="24"/>
          <w:szCs w:val="24"/>
        </w:rPr>
        <w:t xml:space="preserve"> Greater consumer satisfaction and preparedness to meet the growing demand for the goods.</w:t>
      </w:r>
    </w:p>
    <w:p w14:paraId="49191930" w14:textId="77777777" w:rsidR="004A5665" w:rsidRPr="00212206" w:rsidRDefault="004A5665" w:rsidP="004A5665">
      <w:pPr>
        <w:jc w:val="both"/>
        <w:rPr>
          <w:rFonts w:ascii="Times New Roman" w:hAnsi="Times New Roman" w:cs="Times New Roman"/>
          <w:b/>
          <w:bCs/>
          <w:sz w:val="24"/>
          <w:szCs w:val="24"/>
        </w:rPr>
      </w:pPr>
      <w:r w:rsidRPr="00212206">
        <w:rPr>
          <w:rFonts w:ascii="Times New Roman" w:hAnsi="Times New Roman" w:cs="Times New Roman"/>
          <w:b/>
          <w:bCs/>
          <w:sz w:val="24"/>
          <w:szCs w:val="24"/>
        </w:rPr>
        <w:t>4. Regulatory Compliance (€25,000)</w:t>
      </w:r>
      <w:r w:rsidRPr="009C6A3D">
        <w:rPr>
          <w:rFonts w:ascii="Times New Roman" w:hAnsi="Times New Roman" w:cs="Times New Roman"/>
          <w:b/>
          <w:bCs/>
          <w:sz w:val="24"/>
          <w:szCs w:val="24"/>
        </w:rPr>
        <w:t>:</w:t>
      </w:r>
    </w:p>
    <w:p w14:paraId="62E8126A" w14:textId="77777777" w:rsidR="004A5665" w:rsidRPr="00212206" w:rsidRDefault="004A5665" w:rsidP="004A5665">
      <w:pPr>
        <w:numPr>
          <w:ilvl w:val="0"/>
          <w:numId w:val="1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Purpose:</w:t>
      </w:r>
      <w:r w:rsidRPr="00212206">
        <w:rPr>
          <w:rFonts w:ascii="Times New Roman" w:hAnsi="Times New Roman" w:cs="Times New Roman"/>
          <w:sz w:val="24"/>
          <w:szCs w:val="24"/>
        </w:rPr>
        <w:t xml:space="preserve"> </w:t>
      </w:r>
      <w:proofErr w:type="gramStart"/>
      <w:r w:rsidRPr="009C6A3D">
        <w:rPr>
          <w:rFonts w:ascii="Times New Roman" w:hAnsi="Times New Roman" w:cs="Times New Roman"/>
          <w:sz w:val="24"/>
          <w:szCs w:val="24"/>
        </w:rPr>
        <w:t>In order to</w:t>
      </w:r>
      <w:proofErr w:type="gramEnd"/>
      <w:r w:rsidRPr="009C6A3D">
        <w:rPr>
          <w:rFonts w:ascii="Times New Roman" w:hAnsi="Times New Roman" w:cs="Times New Roman"/>
          <w:sz w:val="24"/>
          <w:szCs w:val="24"/>
        </w:rPr>
        <w:t xml:space="preserve"> maintain viable operations, the campaign must comply with neutrality laws.</w:t>
      </w:r>
    </w:p>
    <w:p w14:paraId="7C174D63" w14:textId="77777777" w:rsidR="004A5665" w:rsidRPr="00212206" w:rsidRDefault="004A5665" w:rsidP="004A5665">
      <w:pPr>
        <w:numPr>
          <w:ilvl w:val="0"/>
          <w:numId w:val="12"/>
        </w:numPr>
        <w:spacing w:after="160" w:line="259" w:lineRule="auto"/>
        <w:jc w:val="both"/>
        <w:rPr>
          <w:rFonts w:ascii="Times New Roman" w:hAnsi="Times New Roman" w:cs="Times New Roman"/>
          <w:b/>
          <w:bCs/>
          <w:sz w:val="24"/>
          <w:szCs w:val="24"/>
        </w:rPr>
      </w:pPr>
      <w:r w:rsidRPr="00212206">
        <w:rPr>
          <w:rFonts w:ascii="Times New Roman" w:hAnsi="Times New Roman" w:cs="Times New Roman"/>
          <w:b/>
          <w:bCs/>
          <w:sz w:val="24"/>
          <w:szCs w:val="24"/>
        </w:rPr>
        <w:t>Activities Covered:</w:t>
      </w:r>
    </w:p>
    <w:p w14:paraId="2500C9D9" w14:textId="77777777" w:rsidR="004A5665" w:rsidRPr="009C6A3D" w:rsidRDefault="004A5665" w:rsidP="004A5665">
      <w:pPr>
        <w:pStyle w:val="ListParagraph"/>
        <w:numPr>
          <w:ilvl w:val="1"/>
          <w:numId w:val="3"/>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 xml:space="preserve">Performing audits for compliance. </w:t>
      </w:r>
    </w:p>
    <w:p w14:paraId="2A4C5F7A" w14:textId="77777777" w:rsidR="004A5665" w:rsidRPr="009C6A3D" w:rsidRDefault="004A5665" w:rsidP="004A5665">
      <w:pPr>
        <w:pStyle w:val="ListParagraph"/>
        <w:numPr>
          <w:ilvl w:val="1"/>
          <w:numId w:val="3"/>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Consulting legal professionals on compliance with regulations.</w:t>
      </w:r>
    </w:p>
    <w:p w14:paraId="4EF79666" w14:textId="77777777" w:rsidR="004A5665" w:rsidRPr="009C6A3D" w:rsidRDefault="004A5665" w:rsidP="004A5665">
      <w:pPr>
        <w:pStyle w:val="ListParagraph"/>
        <w:numPr>
          <w:ilvl w:val="1"/>
          <w:numId w:val="3"/>
        </w:numPr>
        <w:spacing w:after="0" w:line="360" w:lineRule="auto"/>
        <w:jc w:val="both"/>
        <w:rPr>
          <w:rFonts w:ascii="Times New Roman" w:eastAsia="Times New Roman" w:hAnsi="Times New Roman" w:cs="Times New Roman"/>
          <w:sz w:val="24"/>
          <w:szCs w:val="24"/>
          <w:lang w:eastAsia="en-IN"/>
        </w:rPr>
      </w:pPr>
      <w:r w:rsidRPr="009C6A3D">
        <w:rPr>
          <w:rFonts w:ascii="Times New Roman" w:eastAsia="Times New Roman" w:hAnsi="Times New Roman" w:cs="Times New Roman"/>
          <w:sz w:val="24"/>
          <w:szCs w:val="24"/>
          <w:lang w:eastAsia="en-IN"/>
        </w:rPr>
        <w:t xml:space="preserve">Getting the paperwork ready for regulatory reporting. </w:t>
      </w:r>
    </w:p>
    <w:p w14:paraId="0B51A10C" w14:textId="77777777" w:rsidR="004A5665" w:rsidRPr="00212206" w:rsidRDefault="004A5665" w:rsidP="004A5665">
      <w:pPr>
        <w:numPr>
          <w:ilvl w:val="0"/>
          <w:numId w:val="2"/>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Impact:</w:t>
      </w:r>
      <w:r w:rsidRPr="00212206">
        <w:rPr>
          <w:rFonts w:ascii="Times New Roman" w:hAnsi="Times New Roman" w:cs="Times New Roman"/>
          <w:sz w:val="24"/>
          <w:szCs w:val="24"/>
        </w:rPr>
        <w:t xml:space="preserve"> Reduced risk of regulatory violations, ensuring long-term sustainability.</w:t>
      </w:r>
    </w:p>
    <w:p w14:paraId="559C029B" w14:textId="77777777" w:rsidR="004A5665" w:rsidRPr="00212206" w:rsidRDefault="004A5665" w:rsidP="004A5665">
      <w:pPr>
        <w:jc w:val="both"/>
        <w:rPr>
          <w:rFonts w:ascii="Times New Roman" w:hAnsi="Times New Roman" w:cs="Times New Roman"/>
          <w:b/>
          <w:bCs/>
          <w:sz w:val="24"/>
          <w:szCs w:val="24"/>
        </w:rPr>
      </w:pPr>
      <w:r w:rsidRPr="00212206">
        <w:rPr>
          <w:rFonts w:ascii="Times New Roman" w:hAnsi="Times New Roman" w:cs="Times New Roman"/>
          <w:b/>
          <w:bCs/>
          <w:sz w:val="24"/>
          <w:szCs w:val="24"/>
        </w:rPr>
        <w:t>5. Contingency Reserve (€10,000)</w:t>
      </w:r>
      <w:r w:rsidRPr="009C6A3D">
        <w:rPr>
          <w:rFonts w:ascii="Times New Roman" w:hAnsi="Times New Roman" w:cs="Times New Roman"/>
          <w:b/>
          <w:bCs/>
          <w:sz w:val="24"/>
          <w:szCs w:val="24"/>
        </w:rPr>
        <w:t>:</w:t>
      </w:r>
    </w:p>
    <w:p w14:paraId="5D1CC574" w14:textId="77777777" w:rsidR="004A5665" w:rsidRPr="00212206" w:rsidRDefault="004A5665" w:rsidP="004A5665">
      <w:pPr>
        <w:numPr>
          <w:ilvl w:val="0"/>
          <w:numId w:val="13"/>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lastRenderedPageBreak/>
        <w:t>Purpose:</w:t>
      </w:r>
      <w:r w:rsidRPr="00212206">
        <w:rPr>
          <w:rFonts w:ascii="Times New Roman" w:hAnsi="Times New Roman" w:cs="Times New Roman"/>
          <w:sz w:val="24"/>
          <w:szCs w:val="24"/>
        </w:rPr>
        <w:t xml:space="preserve"> To address unforeseen expenses or opportunities during the campaign.</w:t>
      </w:r>
    </w:p>
    <w:p w14:paraId="33CFE87B" w14:textId="77777777" w:rsidR="004A5665" w:rsidRPr="00B1191F" w:rsidRDefault="004A5665" w:rsidP="004A5665">
      <w:pPr>
        <w:numPr>
          <w:ilvl w:val="0"/>
          <w:numId w:val="13"/>
        </w:numPr>
        <w:spacing w:after="160" w:line="259" w:lineRule="auto"/>
        <w:jc w:val="both"/>
        <w:rPr>
          <w:rFonts w:ascii="Times New Roman" w:hAnsi="Times New Roman" w:cs="Times New Roman"/>
          <w:sz w:val="24"/>
          <w:szCs w:val="24"/>
        </w:rPr>
      </w:pPr>
      <w:r w:rsidRPr="00212206">
        <w:rPr>
          <w:rFonts w:ascii="Times New Roman" w:hAnsi="Times New Roman" w:cs="Times New Roman"/>
          <w:b/>
          <w:bCs/>
          <w:sz w:val="24"/>
          <w:szCs w:val="24"/>
        </w:rPr>
        <w:t>Impact:</w:t>
      </w:r>
      <w:r w:rsidRPr="00212206">
        <w:rPr>
          <w:rFonts w:ascii="Times New Roman" w:hAnsi="Times New Roman" w:cs="Times New Roman"/>
          <w:sz w:val="24"/>
          <w:szCs w:val="24"/>
        </w:rPr>
        <w:t xml:space="preserve"> Provides financial flexibility to maintain campaign momentum under unexpected conditions.</w:t>
      </w:r>
    </w:p>
    <w:p w14:paraId="4A167B64" w14:textId="77777777" w:rsidR="004A5665" w:rsidRPr="00A35E84" w:rsidRDefault="004A5665" w:rsidP="004A5665">
      <w:pPr>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DIAGRAM:</w:t>
      </w:r>
    </w:p>
    <w:p w14:paraId="5B889AD2" w14:textId="77777777" w:rsidR="004A5665" w:rsidRPr="00996AE1" w:rsidRDefault="004A5665" w:rsidP="004A5665">
      <w:pPr>
        <w:rPr>
          <w:b/>
          <w:bCs/>
        </w:rPr>
      </w:pPr>
      <w:r w:rsidRPr="00996AE1">
        <w:rPr>
          <w:b/>
          <w:bCs/>
          <w:noProof/>
        </w:rPr>
        <w:drawing>
          <wp:inline distT="0" distB="0" distL="0" distR="0" wp14:anchorId="4778F80A" wp14:editId="06D07572">
            <wp:extent cx="4335780" cy="2151380"/>
            <wp:effectExtent l="0" t="0" r="7620" b="1270"/>
            <wp:docPr id="349207409"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07409" name="Picture 1" descr="A graph with different colored squares&#10;&#10;Description automatically generated"/>
                    <pic:cNvPicPr/>
                  </pic:nvPicPr>
                  <pic:blipFill>
                    <a:blip r:embed="rId5"/>
                    <a:stretch>
                      <a:fillRect/>
                    </a:stretch>
                  </pic:blipFill>
                  <pic:spPr>
                    <a:xfrm>
                      <a:off x="0" y="0"/>
                      <a:ext cx="4349315" cy="2158096"/>
                    </a:xfrm>
                    <a:prstGeom prst="rect">
                      <a:avLst/>
                    </a:prstGeom>
                  </pic:spPr>
                </pic:pic>
              </a:graphicData>
            </a:graphic>
          </wp:inline>
        </w:drawing>
      </w:r>
    </w:p>
    <w:p w14:paraId="22A84EEB" w14:textId="77777777" w:rsidR="004A5665" w:rsidRPr="00A35E84" w:rsidRDefault="004A5665" w:rsidP="004A5665">
      <w:pPr>
        <w:jc w:val="both"/>
        <w:rPr>
          <w:rFonts w:ascii="Times New Roman" w:hAnsi="Times New Roman" w:cs="Times New Roman"/>
          <w:b/>
          <w:bCs/>
          <w:sz w:val="24"/>
          <w:szCs w:val="24"/>
          <w:u w:val="single"/>
        </w:rPr>
      </w:pPr>
      <w:r w:rsidRPr="00A35E84">
        <w:rPr>
          <w:rFonts w:ascii="Times New Roman" w:hAnsi="Times New Roman" w:cs="Times New Roman"/>
          <w:b/>
          <w:bCs/>
          <w:sz w:val="24"/>
          <w:szCs w:val="24"/>
          <w:u w:val="single"/>
        </w:rPr>
        <w:t>CONCLUSION:</w:t>
      </w:r>
    </w:p>
    <w:p w14:paraId="2DE8650A" w14:textId="77777777" w:rsidR="004A5665" w:rsidRPr="006F2FA9" w:rsidRDefault="004A5665" w:rsidP="004A5665">
      <w:pPr>
        <w:jc w:val="both"/>
        <w:rPr>
          <w:rFonts w:ascii="Times New Roman" w:hAnsi="Times New Roman" w:cs="Times New Roman"/>
          <w:sz w:val="24"/>
          <w:szCs w:val="24"/>
        </w:rPr>
      </w:pPr>
      <w:r w:rsidRPr="009C6A3D">
        <w:rPr>
          <w:rFonts w:ascii="Times New Roman" w:hAnsi="Times New Roman" w:cs="Times New Roman"/>
          <w:sz w:val="24"/>
          <w:szCs w:val="24"/>
        </w:rPr>
        <w:t>Focused resource use is ensured by the organized budget allocation. The campaign seeks to accomplish major business results while staying within the budgeted amount by investing in data analytics, marketing initiatives, process development, and compliance.</w:t>
      </w:r>
    </w:p>
    <w:p w14:paraId="0B409167" w14:textId="77777777" w:rsidR="004A5665" w:rsidRDefault="004A5665"/>
    <w:sectPr w:rsidR="004A5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533"/>
    <w:multiLevelType w:val="multilevel"/>
    <w:tmpl w:val="6DD649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076E"/>
    <w:multiLevelType w:val="hybridMultilevel"/>
    <w:tmpl w:val="B4FEE40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1670B44"/>
    <w:multiLevelType w:val="hybridMultilevel"/>
    <w:tmpl w:val="BFEC4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066BE"/>
    <w:multiLevelType w:val="hybridMultilevel"/>
    <w:tmpl w:val="AEC8C2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98321AF"/>
    <w:multiLevelType w:val="multilevel"/>
    <w:tmpl w:val="F6F01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47381"/>
    <w:multiLevelType w:val="multilevel"/>
    <w:tmpl w:val="CA3A9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121FE"/>
    <w:multiLevelType w:val="hybridMultilevel"/>
    <w:tmpl w:val="A5ECC8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63DD7"/>
    <w:multiLevelType w:val="hybridMultilevel"/>
    <w:tmpl w:val="05E8E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D02A80"/>
    <w:multiLevelType w:val="hybridMultilevel"/>
    <w:tmpl w:val="5C0241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7B0BEA"/>
    <w:multiLevelType w:val="multilevel"/>
    <w:tmpl w:val="E47CF8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33B99"/>
    <w:multiLevelType w:val="hybridMultilevel"/>
    <w:tmpl w:val="57025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072920"/>
    <w:multiLevelType w:val="hybridMultilevel"/>
    <w:tmpl w:val="9E28ED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ED4179D"/>
    <w:multiLevelType w:val="hybridMultilevel"/>
    <w:tmpl w:val="4A60D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B86B34"/>
    <w:multiLevelType w:val="hybridMultilevel"/>
    <w:tmpl w:val="D80ABA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1007993">
    <w:abstractNumId w:val="7"/>
  </w:num>
  <w:num w:numId="2" w16cid:durableId="1736318437">
    <w:abstractNumId w:val="9"/>
  </w:num>
  <w:num w:numId="3" w16cid:durableId="1549872277">
    <w:abstractNumId w:val="4"/>
  </w:num>
  <w:num w:numId="4" w16cid:durableId="1111510236">
    <w:abstractNumId w:val="11"/>
  </w:num>
  <w:num w:numId="5" w16cid:durableId="1981380296">
    <w:abstractNumId w:val="3"/>
  </w:num>
  <w:num w:numId="6" w16cid:durableId="1044719613">
    <w:abstractNumId w:val="1"/>
  </w:num>
  <w:num w:numId="7" w16cid:durableId="829835557">
    <w:abstractNumId w:val="6"/>
  </w:num>
  <w:num w:numId="8" w16cid:durableId="1488594214">
    <w:abstractNumId w:val="10"/>
  </w:num>
  <w:num w:numId="9" w16cid:durableId="1162550575">
    <w:abstractNumId w:val="8"/>
  </w:num>
  <w:num w:numId="10" w16cid:durableId="1975060244">
    <w:abstractNumId w:val="2"/>
  </w:num>
  <w:num w:numId="11" w16cid:durableId="1976983244">
    <w:abstractNumId w:val="13"/>
  </w:num>
  <w:num w:numId="12" w16cid:durableId="512768915">
    <w:abstractNumId w:val="0"/>
  </w:num>
  <w:num w:numId="13" w16cid:durableId="1516726948">
    <w:abstractNumId w:val="5"/>
  </w:num>
  <w:num w:numId="14" w16cid:durableId="1974405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5"/>
    <w:rsid w:val="004A5665"/>
    <w:rsid w:val="00783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A2E4"/>
  <w15:chartTrackingRefBased/>
  <w15:docId w15:val="{9142DCE9-36E6-4F47-B0BB-F3E3741B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665"/>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4A5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665"/>
    <w:rPr>
      <w:rFonts w:eastAsiaTheme="majorEastAsia" w:cstheme="majorBidi"/>
      <w:color w:val="272727" w:themeColor="text1" w:themeTint="D8"/>
    </w:rPr>
  </w:style>
  <w:style w:type="paragraph" w:styleId="Title">
    <w:name w:val="Title"/>
    <w:basedOn w:val="Normal"/>
    <w:next w:val="Normal"/>
    <w:link w:val="TitleChar"/>
    <w:uiPriority w:val="10"/>
    <w:qFormat/>
    <w:rsid w:val="004A5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665"/>
    <w:pPr>
      <w:spacing w:before="160"/>
      <w:jc w:val="center"/>
    </w:pPr>
    <w:rPr>
      <w:i/>
      <w:iCs/>
      <w:color w:val="404040" w:themeColor="text1" w:themeTint="BF"/>
    </w:rPr>
  </w:style>
  <w:style w:type="character" w:customStyle="1" w:styleId="QuoteChar">
    <w:name w:val="Quote Char"/>
    <w:basedOn w:val="DefaultParagraphFont"/>
    <w:link w:val="Quote"/>
    <w:uiPriority w:val="29"/>
    <w:rsid w:val="004A5665"/>
    <w:rPr>
      <w:i/>
      <w:iCs/>
      <w:color w:val="404040" w:themeColor="text1" w:themeTint="BF"/>
    </w:rPr>
  </w:style>
  <w:style w:type="paragraph" w:styleId="ListParagraph">
    <w:name w:val="List Paragraph"/>
    <w:basedOn w:val="Normal"/>
    <w:uiPriority w:val="34"/>
    <w:qFormat/>
    <w:rsid w:val="004A5665"/>
    <w:pPr>
      <w:ind w:left="720"/>
      <w:contextualSpacing/>
    </w:pPr>
  </w:style>
  <w:style w:type="character" w:styleId="IntenseEmphasis">
    <w:name w:val="Intense Emphasis"/>
    <w:basedOn w:val="DefaultParagraphFont"/>
    <w:uiPriority w:val="21"/>
    <w:qFormat/>
    <w:rsid w:val="004A5665"/>
    <w:rPr>
      <w:i/>
      <w:iCs/>
      <w:color w:val="0F4761" w:themeColor="accent1" w:themeShade="BF"/>
    </w:rPr>
  </w:style>
  <w:style w:type="paragraph" w:styleId="IntenseQuote">
    <w:name w:val="Intense Quote"/>
    <w:basedOn w:val="Normal"/>
    <w:next w:val="Normal"/>
    <w:link w:val="IntenseQuoteChar"/>
    <w:uiPriority w:val="30"/>
    <w:qFormat/>
    <w:rsid w:val="004A5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665"/>
    <w:rPr>
      <w:i/>
      <w:iCs/>
      <w:color w:val="0F4761" w:themeColor="accent1" w:themeShade="BF"/>
    </w:rPr>
  </w:style>
  <w:style w:type="character" w:styleId="IntenseReference">
    <w:name w:val="Intense Reference"/>
    <w:basedOn w:val="DefaultParagraphFont"/>
    <w:uiPriority w:val="32"/>
    <w:qFormat/>
    <w:rsid w:val="004A5665"/>
    <w:rPr>
      <w:b/>
      <w:bCs/>
      <w:smallCaps/>
      <w:color w:val="0F4761" w:themeColor="accent1" w:themeShade="BF"/>
      <w:spacing w:val="5"/>
    </w:rPr>
  </w:style>
  <w:style w:type="table" w:styleId="TableGrid">
    <w:name w:val="Table Grid"/>
    <w:basedOn w:val="TableNormal"/>
    <w:uiPriority w:val="39"/>
    <w:rsid w:val="004A566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56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ULStudent:SUBHIKSHA.RAJAGOPALAN</dc:creator>
  <cp:keywords/>
  <dc:description/>
  <cp:lastModifiedBy>ULStudent:SUBHIKSHA.RAJAGOPALAN</cp:lastModifiedBy>
  <cp:revision>1</cp:revision>
  <dcterms:created xsi:type="dcterms:W3CDTF">2025-07-03T00:09:00Z</dcterms:created>
  <dcterms:modified xsi:type="dcterms:W3CDTF">2025-07-03T00:10:00Z</dcterms:modified>
</cp:coreProperties>
</file>