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IMPLEMENTATION OF JEV AI IN AN AI LAB</w:t>
      </w:r>
    </w:p>
    <w:p>
      <w:pPr>
        <w:jc w:val="center"/>
      </w:pPr>
      <w:r>
        <w:rPr>
          <w:i/>
          <w:sz w:val="20"/>
        </w:rPr>
        <w:t>Practical architecture, deployment plan and pilot roadmap</w:t>
      </w:r>
    </w:p>
    <w:p>
      <w:pPr>
        <w:spacing w:after="40" w:line="240" w:lineRule="auto"/>
      </w:pPr>
      <w:r>
        <w:rPr>
          <w:b/>
        </w:rPr>
        <w:t xml:space="preserve">Executive Summary. </w:t>
      </w:r>
      <w:r>
        <w:t>Jev is a System One/typed decision model designed for software systems rather than conversational text generation. An application supplies state (the information to evaluate) and typed questions, and Jev returns structured outputs such as choices, scores or probabilities that application code can consume. For an AI lab, the most useful role is therefore as a lightweight decision layer alongside existing LLMs, ML models and automation—not as a replacement for them.</w:t>
      </w:r>
    </w:p>
    <w:p>
      <w:pPr>
        <w:pStyle w:val="Heading1"/>
      </w:pPr>
      <w:r>
        <w:t>1. Why Jev Fits an AI Lab</w:t>
      </w:r>
    </w:p>
    <w:p>
      <w:pPr>
        <w:spacing w:after="40" w:line="240" w:lineRule="auto"/>
      </w:pPr>
      <w:r>
        <w:t>An AI lab typically has models producing predictions, agents taking actions, and backend services routing requests. Jev can sit between those components and the application logic when the required output has a defined decision space. Examples include model selection, ticket routing, risk/priority scoring, approval gates, human-review triggers, and experiment routing.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E7E7"/>
          </w:tcPr>
          <w:p>
            <w:r/>
            <w:r>
              <w:rPr>
                <w:rFonts w:ascii="Arial" w:hAnsi="Arial"/>
                <w:b/>
                <w:sz w:val="16"/>
              </w:rPr>
              <w:t>Component</w:t>
            </w:r>
          </w:p>
        </w:tc>
        <w:tc>
          <w:tcPr>
            <w:tcW w:type="dxa" w:w="3456"/>
            <w:shd w:fill="E7E7E7"/>
          </w:tcPr>
          <w:p>
            <w:r/>
            <w:r>
              <w:rPr>
                <w:rFonts w:ascii="Arial" w:hAnsi="Arial"/>
                <w:b/>
                <w:sz w:val="16"/>
              </w:rPr>
              <w:t>Role in the lab</w:t>
            </w:r>
          </w:p>
        </w:tc>
        <w:tc>
          <w:tcPr>
            <w:tcW w:type="dxa" w:w="3456"/>
            <w:shd w:fill="E7E7E7"/>
          </w:tcPr>
          <w:p>
            <w:r/>
            <w:r>
              <w:rPr>
                <w:rFonts w:ascii="Arial" w:hAnsi="Arial"/>
                <w:b/>
                <w:sz w:val="16"/>
              </w:rPr>
              <w:t>Example</w:t>
            </w:r>
          </w:p>
        </w:tc>
      </w:tr>
      <w:tr>
        <w:tc>
          <w:tcPr>
            <w:tcW w:type="dxa" w:w="3456"/>
          </w:tcPr>
          <w:p>
            <w:r/>
            <w:r>
              <w:rPr>
                <w:rFonts w:ascii="Arial" w:hAnsi="Arial"/>
                <w:b w:val="0"/>
                <w:sz w:val="16"/>
              </w:rPr>
              <w:t>Existing LLM / ML model</w:t>
            </w:r>
          </w:p>
        </w:tc>
        <w:tc>
          <w:tcPr>
            <w:tcW w:type="dxa" w:w="3456"/>
          </w:tcPr>
          <w:p>
            <w:r/>
            <w:r>
              <w:rPr>
                <w:rFonts w:ascii="Arial" w:hAnsi="Arial"/>
                <w:b w:val="0"/>
                <w:sz w:val="16"/>
              </w:rPr>
              <w:t>Generates or predicts rich information</w:t>
            </w:r>
          </w:p>
        </w:tc>
        <w:tc>
          <w:tcPr>
            <w:tcW w:type="dxa" w:w="3456"/>
          </w:tcPr>
          <w:p>
            <w:r/>
            <w:r>
              <w:rPr>
                <w:rFonts w:ascii="Arial" w:hAnsi="Arial"/>
                <w:b w:val="0"/>
                <w:sz w:val="16"/>
              </w:rPr>
              <w:t>Summarisation, vision model, anomaly prediction</w:t>
            </w:r>
          </w:p>
        </w:tc>
      </w:tr>
      <w:tr>
        <w:tc>
          <w:tcPr>
            <w:tcW w:type="dxa" w:w="3456"/>
          </w:tcPr>
          <w:p>
            <w:r/>
            <w:r>
              <w:rPr>
                <w:rFonts w:ascii="Arial" w:hAnsi="Arial"/>
                <w:b w:val="0"/>
                <w:sz w:val="16"/>
              </w:rPr>
              <w:t>Jev decision layer</w:t>
            </w:r>
          </w:p>
        </w:tc>
        <w:tc>
          <w:tcPr>
            <w:tcW w:type="dxa" w:w="3456"/>
          </w:tcPr>
          <w:p>
            <w:r/>
            <w:r>
              <w:rPr>
                <w:rFonts w:ascii="Arial" w:hAnsi="Arial"/>
                <w:b w:val="0"/>
                <w:sz w:val="16"/>
              </w:rPr>
              <w:t>Converts state into a constrained decision</w:t>
            </w:r>
          </w:p>
        </w:tc>
        <w:tc>
          <w:tcPr>
            <w:tcW w:type="dxa" w:w="3456"/>
          </w:tcPr>
          <w:p>
            <w:r/>
            <w:r>
              <w:rPr>
                <w:rFonts w:ascii="Arial" w:hAnsi="Arial"/>
                <w:b w:val="0"/>
                <w:sz w:val="16"/>
              </w:rPr>
              <w:t>Route / score / approve-review</w:t>
            </w:r>
          </w:p>
        </w:tc>
      </w:tr>
      <w:tr>
        <w:tc>
          <w:tcPr>
            <w:tcW w:type="dxa" w:w="3456"/>
          </w:tcPr>
          <w:p>
            <w:r/>
            <w:r>
              <w:rPr>
                <w:rFonts w:ascii="Arial" w:hAnsi="Arial"/>
                <w:b w:val="0"/>
                <w:sz w:val="16"/>
              </w:rPr>
              <w:t>Business logic</w:t>
            </w:r>
          </w:p>
        </w:tc>
        <w:tc>
          <w:tcPr>
            <w:tcW w:type="dxa" w:w="3456"/>
          </w:tcPr>
          <w:p>
            <w:r/>
            <w:r>
              <w:rPr>
                <w:rFonts w:ascii="Arial" w:hAnsi="Arial"/>
                <w:b w:val="0"/>
                <w:sz w:val="16"/>
              </w:rPr>
              <w:t>Applies deterministic thresholds and policies</w:t>
            </w:r>
          </w:p>
        </w:tc>
        <w:tc>
          <w:tcPr>
            <w:tcW w:type="dxa" w:w="3456"/>
          </w:tcPr>
          <w:p>
            <w:r/>
            <w:r>
              <w:rPr>
                <w:rFonts w:ascii="Arial" w:hAnsi="Arial"/>
                <w:b w:val="0"/>
                <w:sz w:val="16"/>
              </w:rPr>
              <w:t>If score &gt; threshold → human review</w:t>
            </w:r>
          </w:p>
        </w:tc>
      </w:tr>
      <w:tr>
        <w:tc>
          <w:tcPr>
            <w:tcW w:type="dxa" w:w="3456"/>
          </w:tcPr>
          <w:p>
            <w:r/>
            <w:r>
              <w:rPr>
                <w:rFonts w:ascii="Arial" w:hAnsi="Arial"/>
                <w:b w:val="0"/>
                <w:sz w:val="16"/>
              </w:rPr>
              <w:t>Monitoring</w:t>
            </w:r>
          </w:p>
        </w:tc>
        <w:tc>
          <w:tcPr>
            <w:tcW w:type="dxa" w:w="3456"/>
          </w:tcPr>
          <w:p>
            <w:r/>
            <w:r>
              <w:rPr>
                <w:rFonts w:ascii="Arial" w:hAnsi="Arial"/>
                <w:b w:val="0"/>
                <w:sz w:val="16"/>
              </w:rPr>
              <w:t>Measures quality and drift</w:t>
            </w:r>
          </w:p>
        </w:tc>
        <w:tc>
          <w:tcPr>
            <w:tcW w:type="dxa" w:w="3456"/>
          </w:tcPr>
          <w:p>
            <w:r/>
            <w:r>
              <w:rPr>
                <w:rFonts w:ascii="Arial" w:hAnsi="Arial"/>
                <w:b w:val="0"/>
                <w:sz w:val="16"/>
              </w:rPr>
              <w:t>Accuracy, calibration, latency, fallbacks</w:t>
            </w:r>
          </w:p>
        </w:tc>
      </w:tr>
    </w:tbl>
    <w:p>
      <w:pPr>
        <w:pStyle w:val="Heading1"/>
      </w:pPr>
      <w:r>
        <w:t>2. Proposed AI Lab Architecture</w:t>
      </w:r>
    </w:p>
    <w:p>
      <w:pPr>
        <w:spacing w:after="40" w:line="240" w:lineRule="auto"/>
      </w:pPr>
      <w:r>
        <w:t>A practical architecture is to expose Jev through a backend service. Applications first normalise their state, then send the state and typed questions to Jev. The returned structured result is validated and passed through deterministic policy rules. Sensitive data should be minimised before external API calls.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D9D9"/>
          </w:tcPr>
          <w:p>
            <w:r/>
            <w:r>
              <w:rPr>
                <w:rFonts w:ascii="Arial" w:hAnsi="Arial"/>
                <w:b/>
                <w:sz w:val="16"/>
              </w:rPr>
              <w:t>Data / Event</w:t>
            </w:r>
          </w:p>
        </w:tc>
        <w:tc>
          <w:tcPr>
            <w:tcW w:type="dxa" w:w="2074"/>
            <w:shd w:fill="D9D9D9"/>
          </w:tcPr>
          <w:p>
            <w:r/>
            <w:r>
              <w:rPr>
                <w:rFonts w:ascii="Arial" w:hAnsi="Arial"/>
                <w:b/>
                <w:sz w:val="16"/>
              </w:rPr>
              <w:t>AI/ML Layer</w:t>
            </w:r>
          </w:p>
        </w:tc>
        <w:tc>
          <w:tcPr>
            <w:tcW w:type="dxa" w:w="2074"/>
            <w:shd w:fill="D9D9D9"/>
          </w:tcPr>
          <w:p>
            <w:r/>
            <w:r>
              <w:rPr>
                <w:rFonts w:ascii="Arial" w:hAnsi="Arial"/>
                <w:b/>
                <w:sz w:val="16"/>
              </w:rPr>
              <w:t>Jev API</w:t>
            </w:r>
          </w:p>
        </w:tc>
        <w:tc>
          <w:tcPr>
            <w:tcW w:type="dxa" w:w="2074"/>
            <w:shd w:fill="D9D9D9"/>
          </w:tcPr>
          <w:p>
            <w:r/>
            <w:r>
              <w:rPr>
                <w:rFonts w:ascii="Arial" w:hAnsi="Arial"/>
                <w:b/>
                <w:sz w:val="16"/>
              </w:rPr>
              <w:t>Policy Engine</w:t>
            </w:r>
          </w:p>
        </w:tc>
        <w:tc>
          <w:tcPr>
            <w:tcW w:type="dxa" w:w="2074"/>
            <w:shd w:fill="D9D9D9"/>
          </w:tcPr>
          <w:p>
            <w:r/>
            <w:r>
              <w:rPr>
                <w:rFonts w:ascii="Arial" w:hAnsi="Arial"/>
                <w:b/>
                <w:sz w:val="16"/>
              </w:rPr>
              <w:t>Action / Human</w:t>
            </w:r>
          </w:p>
        </w:tc>
      </w:tr>
      <w:tr>
        <w:tc>
          <w:tcPr>
            <w:tcW w:type="dxa" w:w="2074"/>
          </w:tcPr>
          <w:p>
            <w:r/>
            <w:r>
              <w:rPr>
                <w:rFonts w:ascii="Arial" w:hAnsi="Arial"/>
                <w:b w:val="0"/>
                <w:sz w:val="16"/>
              </w:rPr>
              <w:t>App, logs,</w:t>
              <w:br/>
              <w:t>metrics, text</w:t>
            </w:r>
          </w:p>
        </w:tc>
        <w:tc>
          <w:tcPr>
            <w:tcW w:type="dxa" w:w="2074"/>
          </w:tcPr>
          <w:p>
            <w:r/>
            <w:r>
              <w:rPr>
                <w:rFonts w:ascii="Arial" w:hAnsi="Arial"/>
                <w:b w:val="0"/>
                <w:sz w:val="16"/>
              </w:rPr>
              <w:t>LLM / ML / CV</w:t>
              <w:br/>
              <w:t>(optional)</w:t>
            </w:r>
          </w:p>
        </w:tc>
        <w:tc>
          <w:tcPr>
            <w:tcW w:type="dxa" w:w="2074"/>
          </w:tcPr>
          <w:p>
            <w:r/>
            <w:r>
              <w:rPr>
                <w:rFonts w:ascii="Arial" w:hAnsi="Arial"/>
                <w:b w:val="0"/>
                <w:sz w:val="16"/>
              </w:rPr>
              <w:t>State + typed</w:t>
              <w:br/>
              <w:t>questions → result</w:t>
            </w:r>
          </w:p>
        </w:tc>
        <w:tc>
          <w:tcPr>
            <w:tcW w:type="dxa" w:w="2074"/>
          </w:tcPr>
          <w:p>
            <w:r/>
            <w:r>
              <w:rPr>
                <w:rFonts w:ascii="Arial" w:hAnsi="Arial"/>
                <w:b w:val="0"/>
                <w:sz w:val="16"/>
              </w:rPr>
              <w:t>Thresholds,</w:t>
              <w:br/>
              <w:t>validation, fallback</w:t>
            </w:r>
          </w:p>
        </w:tc>
        <w:tc>
          <w:tcPr>
            <w:tcW w:type="dxa" w:w="2074"/>
          </w:tcPr>
          <w:p>
            <w:r/>
            <w:r>
              <w:rPr>
                <w:rFonts w:ascii="Arial" w:hAnsi="Arial"/>
                <w:b w:val="0"/>
                <w:sz w:val="16"/>
              </w:rPr>
              <w:t>Route, block,</w:t>
              <w:br/>
              <w:t>queue, review</w:t>
            </w:r>
          </w:p>
        </w:tc>
      </w:tr>
    </w:tbl>
    <w:p>
      <w:pPr>
        <w:spacing w:after="40" w:line="240" w:lineRule="auto"/>
      </w:pPr>
      <w:r>
        <w:rPr>
          <w:b/>
        </w:rPr>
        <w:t xml:space="preserve">Recommended principle: </w:t>
      </w:r>
      <w:r>
        <w:t>Jev should recommend/score within a declared output space; the surrounding application should retain final control over actions, thresholds, access and audit logging.</w:t>
      </w:r>
    </w:p>
    <w:p>
      <w:pPr>
        <w:pStyle w:val="Heading1"/>
      </w:pPr>
      <w:r>
        <w:t>3. Implementation Steps</w:t>
      </w:r>
    </w:p>
    <w:p>
      <w:pPr>
        <w:spacing w:after="40"/>
        <w:ind w:left="173"/>
      </w:pPr>
      <w:r>
        <w:rPr>
          <w:b/>
        </w:rPr>
        <w:t xml:space="preserve">Step 1 — Select a low-risk decision: </w:t>
      </w:r>
      <w:r>
        <w:t>Start with one repeatable decision such as support-ticket routing, model routing, alert prioritisation or human-review classification. Avoid high-impact autonomous decisions during the pilot.</w:t>
      </w:r>
    </w:p>
    <w:p>
      <w:pPr>
        <w:spacing w:after="40"/>
        <w:ind w:left="173"/>
      </w:pPr>
      <w:r>
        <w:rPr>
          <w:b/>
        </w:rPr>
        <w:t xml:space="preserve">Step 2 — Define the state: </w:t>
      </w:r>
      <w:r>
        <w:t>Create a small, stable JSON/text representation containing only information required for the decision. Remove unnecessary personal or confidential data.</w:t>
      </w:r>
    </w:p>
    <w:p>
      <w:pPr>
        <w:spacing w:after="40"/>
        <w:ind w:left="173"/>
      </w:pPr>
      <w:r>
        <w:rPr>
          <w:b/>
        </w:rPr>
        <w:t xml:space="preserve">Step 3 — Define typed questions: </w:t>
      </w:r>
      <w:r>
        <w:t>Declare the possible output space: Choice (e.g., billing/technical/general), Score (e.g., 1–5), or probability/yes-no style decision where supported. Keep choices mutually understandable.</w:t>
      </w:r>
    </w:p>
    <w:p>
      <w:pPr>
        <w:spacing w:after="40"/>
        <w:ind w:left="173"/>
      </w:pPr>
      <w:r>
        <w:rPr>
          <w:b/>
        </w:rPr>
        <w:t xml:space="preserve">Step 4 — Prototype: </w:t>
      </w:r>
      <w:r>
        <w:t>Use the Jev playground/API to test real or synthetic examples. Compare Jev outputs against a labelled validation set and record accuracy, confidence/calibration, latency and failure cases.</w:t>
      </w:r>
    </w:p>
    <w:p>
      <w:pPr>
        <w:spacing w:after="40"/>
        <w:ind w:left="173"/>
      </w:pPr>
      <w:r>
        <w:rPr>
          <w:b/>
        </w:rPr>
        <w:t xml:space="preserve">Step 5 — Build a backend adapter: </w:t>
      </w:r>
      <w:r>
        <w:t>Create a small service (for example, Node.js/TypeScript) that authenticates the API, validates requests, calls Jev server-side, validates the response schema, logs request IDs/metrics, and returns only approved fields to internal applications.</w:t>
      </w:r>
    </w:p>
    <w:p>
      <w:pPr>
        <w:spacing w:after="40"/>
        <w:ind w:left="173"/>
      </w:pPr>
      <w:r>
        <w:rPr>
          <w:b/>
        </w:rPr>
        <w:t xml:space="preserve">Step 6 — Add deterministic controls: </w:t>
      </w:r>
      <w:r>
        <w:t>Do not let the model directly perform irreversible actions. Add thresholds, allow-lists, retries/timeouts and a human fallback. For example: low confidence → human review.</w:t>
      </w:r>
    </w:p>
    <w:p>
      <w:pPr>
        <w:spacing w:after="40"/>
        <w:ind w:left="173"/>
      </w:pPr>
      <w:r>
        <w:rPr>
          <w:b/>
        </w:rPr>
        <w:t xml:space="preserve">Step 7 — Pilot and monitor: </w:t>
      </w:r>
      <w:r>
        <w:t>Run Jev in shadow mode first: generate decisions without changing production outcomes. Compare against existing rules/model results, then enable it for a limited workload.</w:t>
      </w:r>
    </w:p>
    <w:p>
      <w:pPr>
        <w:pStyle w:val="Heading1"/>
      </w:pPr>
      <w:r>
        <w:t>4. Reference Technical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E7E7"/>
          </w:tcPr>
          <w:p>
            <w:r/>
            <w:r>
              <w:rPr>
                <w:rFonts w:ascii="Arial" w:hAnsi="Arial"/>
                <w:b/>
                <w:sz w:val="16"/>
              </w:rPr>
              <w:t>Layer</w:t>
            </w:r>
          </w:p>
        </w:tc>
        <w:tc>
          <w:tcPr>
            <w:tcW w:type="dxa" w:w="3456"/>
            <w:shd w:fill="E7E7E7"/>
          </w:tcPr>
          <w:p>
            <w:r/>
            <w:r>
              <w:rPr>
                <w:rFonts w:ascii="Arial" w:hAnsi="Arial"/>
                <w:b/>
                <w:sz w:val="16"/>
              </w:rPr>
              <w:t>Recommended choice</w:t>
            </w:r>
          </w:p>
        </w:tc>
        <w:tc>
          <w:tcPr>
            <w:tcW w:type="dxa" w:w="3456"/>
            <w:shd w:fill="E7E7E7"/>
          </w:tcPr>
          <w:p>
            <w:r/>
            <w:r>
              <w:rPr>
                <w:rFonts w:ascii="Arial" w:hAnsi="Arial"/>
                <w:b/>
                <w:sz w:val="16"/>
              </w:rPr>
              <w:t>Purpose</w:t>
            </w:r>
          </w:p>
        </w:tc>
      </w:tr>
      <w:tr>
        <w:tc>
          <w:tcPr>
            <w:tcW w:type="dxa" w:w="3456"/>
          </w:tcPr>
          <w:p>
            <w:r/>
            <w:r>
              <w:rPr>
                <w:rFonts w:ascii="Arial" w:hAnsi="Arial"/>
                <w:b w:val="0"/>
                <w:sz w:val="16"/>
              </w:rPr>
              <w:t>Client / workload</w:t>
            </w:r>
          </w:p>
        </w:tc>
        <w:tc>
          <w:tcPr>
            <w:tcW w:type="dxa" w:w="3456"/>
          </w:tcPr>
          <w:p>
            <w:r/>
            <w:r>
              <w:rPr>
                <w:rFonts w:ascii="Arial" w:hAnsi="Arial"/>
                <w:b w:val="0"/>
                <w:sz w:val="16"/>
              </w:rPr>
              <w:t>Existing AI lab applications</w:t>
            </w:r>
          </w:p>
        </w:tc>
        <w:tc>
          <w:tcPr>
            <w:tcW w:type="dxa" w:w="3456"/>
          </w:tcPr>
          <w:p>
            <w:r/>
            <w:r>
              <w:rPr>
                <w:rFonts w:ascii="Arial" w:hAnsi="Arial"/>
                <w:b w:val="0"/>
                <w:sz w:val="16"/>
              </w:rPr>
              <w:t>Produces decision state</w:t>
            </w:r>
          </w:p>
        </w:tc>
      </w:tr>
      <w:tr>
        <w:tc>
          <w:tcPr>
            <w:tcW w:type="dxa" w:w="3456"/>
          </w:tcPr>
          <w:p>
            <w:r/>
            <w:r>
              <w:rPr>
                <w:rFonts w:ascii="Arial" w:hAnsi="Arial"/>
                <w:b w:val="0"/>
                <w:sz w:val="16"/>
              </w:rPr>
              <w:t>API service</w:t>
            </w:r>
          </w:p>
        </w:tc>
        <w:tc>
          <w:tcPr>
            <w:tcW w:type="dxa" w:w="3456"/>
          </w:tcPr>
          <w:p>
            <w:r/>
            <w:r>
              <w:rPr>
                <w:rFonts w:ascii="Arial" w:hAnsi="Arial"/>
                <w:b w:val="0"/>
                <w:sz w:val="16"/>
              </w:rPr>
              <w:t>Node.js + TypeScript / Next.js route</w:t>
            </w:r>
          </w:p>
        </w:tc>
        <w:tc>
          <w:tcPr>
            <w:tcW w:type="dxa" w:w="3456"/>
          </w:tcPr>
          <w:p>
            <w:r/>
            <w:r>
              <w:rPr>
                <w:rFonts w:ascii="Arial" w:hAnsi="Arial"/>
                <w:b w:val="0"/>
                <w:sz w:val="16"/>
              </w:rPr>
              <w:t>Keeps API key server-side and standardises calls</w:t>
            </w:r>
          </w:p>
        </w:tc>
      </w:tr>
      <w:tr>
        <w:tc>
          <w:tcPr>
            <w:tcW w:type="dxa" w:w="3456"/>
          </w:tcPr>
          <w:p>
            <w:r/>
            <w:r>
              <w:rPr>
                <w:rFonts w:ascii="Arial" w:hAnsi="Arial"/>
                <w:b w:val="0"/>
                <w:sz w:val="16"/>
              </w:rPr>
              <w:t>Decision model</w:t>
            </w:r>
          </w:p>
        </w:tc>
        <w:tc>
          <w:tcPr>
            <w:tcW w:type="dxa" w:w="3456"/>
          </w:tcPr>
          <w:p>
            <w:r/>
            <w:r>
              <w:rPr>
                <w:rFonts w:ascii="Arial" w:hAnsi="Arial"/>
                <w:b w:val="0"/>
                <w:sz w:val="16"/>
              </w:rPr>
              <w:t>Jev / TypeSafe API</w:t>
            </w:r>
          </w:p>
        </w:tc>
        <w:tc>
          <w:tcPr>
            <w:tcW w:type="dxa" w:w="3456"/>
          </w:tcPr>
          <w:p>
            <w:r/>
            <w:r>
              <w:rPr>
                <w:rFonts w:ascii="Arial" w:hAnsi="Arial"/>
                <w:b w:val="0"/>
                <w:sz w:val="16"/>
              </w:rPr>
              <w:t>Typed decision output</w:t>
            </w:r>
          </w:p>
        </w:tc>
      </w:tr>
      <w:tr>
        <w:tc>
          <w:tcPr>
            <w:tcW w:type="dxa" w:w="3456"/>
          </w:tcPr>
          <w:p>
            <w:r/>
            <w:r>
              <w:rPr>
                <w:rFonts w:ascii="Arial" w:hAnsi="Arial"/>
                <w:b w:val="0"/>
                <w:sz w:val="16"/>
              </w:rPr>
              <w:t>Data &amp; observability</w:t>
            </w:r>
          </w:p>
        </w:tc>
        <w:tc>
          <w:tcPr>
            <w:tcW w:type="dxa" w:w="3456"/>
          </w:tcPr>
          <w:p>
            <w:r/>
            <w:r>
              <w:rPr>
                <w:rFonts w:ascii="Arial" w:hAnsi="Arial"/>
                <w:b w:val="0"/>
                <w:sz w:val="16"/>
              </w:rPr>
              <w:t>PostgreSQL + logs/metrics dashboard</w:t>
            </w:r>
          </w:p>
        </w:tc>
        <w:tc>
          <w:tcPr>
            <w:tcW w:type="dxa" w:w="3456"/>
          </w:tcPr>
          <w:p>
            <w:r/>
            <w:r>
              <w:rPr>
                <w:rFonts w:ascii="Arial" w:hAnsi="Arial"/>
                <w:b w:val="0"/>
                <w:sz w:val="16"/>
              </w:rPr>
              <w:t>Audit, evaluation and monitoring</w:t>
            </w:r>
          </w:p>
        </w:tc>
      </w:tr>
      <w:tr>
        <w:tc>
          <w:tcPr>
            <w:tcW w:type="dxa" w:w="3456"/>
          </w:tcPr>
          <w:p>
            <w:r/>
            <w:r>
              <w:rPr>
                <w:rFonts w:ascii="Arial" w:hAnsi="Arial"/>
                <w:b w:val="0"/>
                <w:sz w:val="16"/>
              </w:rPr>
              <w:t>Deployment</w:t>
            </w:r>
          </w:p>
        </w:tc>
        <w:tc>
          <w:tcPr>
            <w:tcW w:type="dxa" w:w="3456"/>
          </w:tcPr>
          <w:p>
            <w:r/>
            <w:r>
              <w:rPr>
                <w:rFonts w:ascii="Arial" w:hAnsi="Arial"/>
                <w:b w:val="0"/>
                <w:sz w:val="16"/>
              </w:rPr>
              <w:t>Docker + Kubernetes (if already used)</w:t>
            </w:r>
          </w:p>
        </w:tc>
        <w:tc>
          <w:tcPr>
            <w:tcW w:type="dxa" w:w="3456"/>
          </w:tcPr>
          <w:p>
            <w:r/>
            <w:r>
              <w:rPr>
                <w:rFonts w:ascii="Arial" w:hAnsi="Arial"/>
                <w:b w:val="0"/>
                <w:sz w:val="16"/>
              </w:rPr>
              <w:t>Repeatable deployment and scaling</w:t>
            </w:r>
          </w:p>
        </w:tc>
      </w:tr>
      <w:tr>
        <w:tc>
          <w:tcPr>
            <w:tcW w:type="dxa" w:w="3456"/>
          </w:tcPr>
          <w:p>
            <w:r/>
            <w:r>
              <w:rPr>
                <w:rFonts w:ascii="Arial" w:hAnsi="Arial"/>
                <w:b w:val="0"/>
                <w:sz w:val="16"/>
              </w:rPr>
              <w:t>Security</w:t>
            </w:r>
          </w:p>
        </w:tc>
        <w:tc>
          <w:tcPr>
            <w:tcW w:type="dxa" w:w="3456"/>
          </w:tcPr>
          <w:p>
            <w:r/>
            <w:r>
              <w:rPr>
                <w:rFonts w:ascii="Arial" w:hAnsi="Arial"/>
                <w:b w:val="0"/>
                <w:sz w:val="16"/>
              </w:rPr>
              <w:t>Secrets manager + HTTPS + RBAC</w:t>
            </w:r>
          </w:p>
        </w:tc>
        <w:tc>
          <w:tcPr>
            <w:tcW w:type="dxa" w:w="3456"/>
          </w:tcPr>
          <w:p>
            <w:r/>
            <w:r>
              <w:rPr>
                <w:rFonts w:ascii="Arial" w:hAnsi="Arial"/>
                <w:b w:val="0"/>
                <w:sz w:val="16"/>
              </w:rPr>
              <w:t>Protect credentials and access</w:t>
            </w:r>
          </w:p>
        </w:tc>
      </w:tr>
    </w:tbl>
    <w:p>
      <w:pPr>
        <w:pStyle w:val="Heading1"/>
      </w:pPr>
      <w:r>
        <w:t>5. Pilot Use Cases for the AI Lab</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E7E7"/>
          </w:tcPr>
          <w:p>
            <w:r/>
            <w:r>
              <w:rPr>
                <w:rFonts w:ascii="Arial" w:hAnsi="Arial"/>
                <w:b/>
                <w:sz w:val="16"/>
              </w:rPr>
              <w:t>Use case</w:t>
            </w:r>
          </w:p>
        </w:tc>
        <w:tc>
          <w:tcPr>
            <w:tcW w:type="dxa" w:w="3456"/>
            <w:shd w:fill="E7E7E7"/>
          </w:tcPr>
          <w:p>
            <w:r/>
            <w:r>
              <w:rPr>
                <w:rFonts w:ascii="Arial" w:hAnsi="Arial"/>
                <w:b/>
                <w:sz w:val="16"/>
              </w:rPr>
              <w:t>Input state</w:t>
            </w:r>
          </w:p>
        </w:tc>
        <w:tc>
          <w:tcPr>
            <w:tcW w:type="dxa" w:w="3456"/>
            <w:shd w:fill="E7E7E7"/>
          </w:tcPr>
          <w:p>
            <w:r/>
            <w:r>
              <w:rPr>
                <w:rFonts w:ascii="Arial" w:hAnsi="Arial"/>
                <w:b/>
                <w:sz w:val="16"/>
              </w:rPr>
              <w:t>Jev output / action</w:t>
            </w:r>
          </w:p>
        </w:tc>
      </w:tr>
      <w:tr>
        <w:tc>
          <w:tcPr>
            <w:tcW w:type="dxa" w:w="3456"/>
          </w:tcPr>
          <w:p>
            <w:r/>
            <w:r>
              <w:rPr>
                <w:rFonts w:ascii="Arial" w:hAnsi="Arial"/>
                <w:b w:val="0"/>
                <w:sz w:val="16"/>
              </w:rPr>
              <w:t>AI model routing</w:t>
            </w:r>
          </w:p>
        </w:tc>
        <w:tc>
          <w:tcPr>
            <w:tcW w:type="dxa" w:w="3456"/>
          </w:tcPr>
          <w:p>
            <w:r/>
            <w:r>
              <w:rPr>
                <w:rFonts w:ascii="Arial" w:hAnsi="Arial"/>
                <w:b w:val="0"/>
                <w:sz w:val="16"/>
              </w:rPr>
              <w:t>Task type, latency/cost requirement, model health</w:t>
            </w:r>
          </w:p>
        </w:tc>
        <w:tc>
          <w:tcPr>
            <w:tcW w:type="dxa" w:w="3456"/>
          </w:tcPr>
          <w:p>
            <w:r/>
            <w:r>
              <w:rPr>
                <w:rFonts w:ascii="Arial" w:hAnsi="Arial"/>
                <w:b w:val="0"/>
                <w:sz w:val="16"/>
              </w:rPr>
              <w:t>Choose model A/B/C</w:t>
            </w:r>
          </w:p>
        </w:tc>
      </w:tr>
      <w:tr>
        <w:tc>
          <w:tcPr>
            <w:tcW w:type="dxa" w:w="3456"/>
          </w:tcPr>
          <w:p>
            <w:r/>
            <w:r>
              <w:rPr>
                <w:rFonts w:ascii="Arial" w:hAnsi="Arial"/>
                <w:b w:val="0"/>
                <w:sz w:val="16"/>
              </w:rPr>
              <w:t>Alert prioritisation</w:t>
            </w:r>
          </w:p>
        </w:tc>
        <w:tc>
          <w:tcPr>
            <w:tcW w:type="dxa" w:w="3456"/>
          </w:tcPr>
          <w:p>
            <w:r/>
            <w:r>
              <w:rPr>
                <w:rFonts w:ascii="Arial" w:hAnsi="Arial"/>
                <w:b w:val="0"/>
                <w:sz w:val="16"/>
              </w:rPr>
              <w:t>Alert metadata + recent signals</w:t>
            </w:r>
          </w:p>
        </w:tc>
        <w:tc>
          <w:tcPr>
            <w:tcW w:type="dxa" w:w="3456"/>
          </w:tcPr>
          <w:p>
            <w:r/>
            <w:r>
              <w:rPr>
                <w:rFonts w:ascii="Arial" w:hAnsi="Arial"/>
                <w:b w:val="0"/>
                <w:sz w:val="16"/>
              </w:rPr>
              <w:t>Priority score → queue</w:t>
            </w:r>
          </w:p>
        </w:tc>
      </w:tr>
      <w:tr>
        <w:tc>
          <w:tcPr>
            <w:tcW w:type="dxa" w:w="3456"/>
          </w:tcPr>
          <w:p>
            <w:r/>
            <w:r>
              <w:rPr>
                <w:rFonts w:ascii="Arial" w:hAnsi="Arial"/>
                <w:b w:val="0"/>
                <w:sz w:val="16"/>
              </w:rPr>
              <w:t>Support classification</w:t>
            </w:r>
          </w:p>
        </w:tc>
        <w:tc>
          <w:tcPr>
            <w:tcW w:type="dxa" w:w="3456"/>
          </w:tcPr>
          <w:p>
            <w:r/>
            <w:r>
              <w:rPr>
                <w:rFonts w:ascii="Arial" w:hAnsi="Arial"/>
                <w:b w:val="0"/>
                <w:sz w:val="16"/>
              </w:rPr>
              <w:t>Customer issue text + metadata</w:t>
            </w:r>
          </w:p>
        </w:tc>
        <w:tc>
          <w:tcPr>
            <w:tcW w:type="dxa" w:w="3456"/>
          </w:tcPr>
          <w:p>
            <w:r/>
            <w:r>
              <w:rPr>
                <w:rFonts w:ascii="Arial" w:hAnsi="Arial"/>
                <w:b w:val="0"/>
                <w:sz w:val="16"/>
              </w:rPr>
              <w:t>Route to team</w:t>
            </w:r>
          </w:p>
        </w:tc>
      </w:tr>
      <w:tr>
        <w:tc>
          <w:tcPr>
            <w:tcW w:type="dxa" w:w="3456"/>
          </w:tcPr>
          <w:p>
            <w:r/>
            <w:r>
              <w:rPr>
                <w:rFonts w:ascii="Arial" w:hAnsi="Arial"/>
                <w:b w:val="0"/>
                <w:sz w:val="16"/>
              </w:rPr>
              <w:t>Human-review gate</w:t>
            </w:r>
          </w:p>
        </w:tc>
        <w:tc>
          <w:tcPr>
            <w:tcW w:type="dxa" w:w="3456"/>
          </w:tcPr>
          <w:p>
            <w:r/>
            <w:r>
              <w:rPr>
                <w:rFonts w:ascii="Arial" w:hAnsi="Arial"/>
                <w:b w:val="0"/>
                <w:sz w:val="16"/>
              </w:rPr>
              <w:t>Model result + confidence + policy context</w:t>
            </w:r>
          </w:p>
        </w:tc>
        <w:tc>
          <w:tcPr>
            <w:tcW w:type="dxa" w:w="3456"/>
          </w:tcPr>
          <w:p>
            <w:r/>
            <w:r>
              <w:rPr>
                <w:rFonts w:ascii="Arial" w:hAnsi="Arial"/>
                <w:b w:val="0"/>
                <w:sz w:val="16"/>
              </w:rPr>
              <w:t>Review / proceed</w:t>
            </w:r>
          </w:p>
        </w:tc>
      </w:tr>
      <w:tr>
        <w:tc>
          <w:tcPr>
            <w:tcW w:type="dxa" w:w="3456"/>
          </w:tcPr>
          <w:p>
            <w:r/>
            <w:r>
              <w:rPr>
                <w:rFonts w:ascii="Arial" w:hAnsi="Arial"/>
                <w:b w:val="0"/>
                <w:sz w:val="16"/>
              </w:rPr>
              <w:t>Experiment allocation</w:t>
            </w:r>
          </w:p>
        </w:tc>
        <w:tc>
          <w:tcPr>
            <w:tcW w:type="dxa" w:w="3456"/>
          </w:tcPr>
          <w:p>
            <w:r/>
            <w:r>
              <w:rPr>
                <w:rFonts w:ascii="Arial" w:hAnsi="Arial"/>
                <w:b w:val="0"/>
                <w:sz w:val="16"/>
              </w:rPr>
              <w:t>User/task context + experiment rules</w:t>
            </w:r>
          </w:p>
        </w:tc>
        <w:tc>
          <w:tcPr>
            <w:tcW w:type="dxa" w:w="3456"/>
          </w:tcPr>
          <w:p>
            <w:r/>
            <w:r>
              <w:rPr>
                <w:rFonts w:ascii="Arial" w:hAnsi="Arial"/>
                <w:b w:val="0"/>
                <w:sz w:val="16"/>
              </w:rPr>
              <w:t>Variant selection</w:t>
            </w:r>
          </w:p>
        </w:tc>
      </w:tr>
    </w:tbl>
    <w:p>
      <w:pPr>
        <w:pStyle w:val="Heading1"/>
      </w:pPr>
      <w:r>
        <w:t>6. Deployment &amp; Governance</w:t>
      </w:r>
    </w:p>
    <w:p>
      <w:pPr>
        <w:spacing w:after="40" w:line="240" w:lineRule="auto"/>
      </w:pPr>
      <w:r>
        <w:t>For an enterprise AI lab, Jev should be treated as an external decision service unless an approved local/self-hosted option becomes available. API credentials must remain on the server; requests should use minimum necessary data; and all automated actions should be auditable. Before production use, establish a benchmark dataset, acceptance thresholds, fallback behaviour, data-retention rules and an owner for each decision workflow.</w:t>
      </w:r>
    </w:p>
    <w:p>
      <w:pPr>
        <w:pStyle w:val="Heading1"/>
      </w:pPr>
      <w:r>
        <w:t>7. 30-Day Pilot Roadmap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7E7E7"/>
          </w:tcPr>
          <w:p>
            <w:r/>
            <w:r>
              <w:rPr>
                <w:rFonts w:ascii="Arial" w:hAnsi="Arial"/>
                <w:b/>
                <w:sz w:val="16"/>
              </w:rPr>
              <w:t>Period</w:t>
            </w:r>
          </w:p>
        </w:tc>
        <w:tc>
          <w:tcPr>
            <w:tcW w:type="dxa" w:w="2592"/>
            <w:shd w:fill="E7E7E7"/>
          </w:tcPr>
          <w:p>
            <w:r/>
            <w:r>
              <w:rPr>
                <w:rFonts w:ascii="Arial" w:hAnsi="Arial"/>
                <w:b/>
                <w:sz w:val="16"/>
              </w:rPr>
              <w:t>Work</w:t>
            </w:r>
          </w:p>
        </w:tc>
        <w:tc>
          <w:tcPr>
            <w:tcW w:type="dxa" w:w="2592"/>
            <w:shd w:fill="E7E7E7"/>
          </w:tcPr>
          <w:p>
            <w:r/>
            <w:r>
              <w:rPr>
                <w:rFonts w:ascii="Arial" w:hAnsi="Arial"/>
                <w:b/>
                <w:sz w:val="16"/>
              </w:rPr>
              <w:t>Deliverable</w:t>
            </w:r>
          </w:p>
        </w:tc>
        <w:tc>
          <w:tcPr>
            <w:tcW w:type="dxa" w:w="2592"/>
            <w:shd w:fill="E7E7E7"/>
          </w:tcPr>
          <w:p>
            <w:r/>
            <w:r>
              <w:rPr>
                <w:rFonts w:ascii="Arial" w:hAnsi="Arial"/>
                <w:b/>
                <w:sz w:val="16"/>
              </w:rPr>
              <w:t>Gate</w:t>
            </w:r>
          </w:p>
        </w:tc>
      </w:tr>
      <w:tr>
        <w:tc>
          <w:tcPr>
            <w:tcW w:type="dxa" w:w="2592"/>
          </w:tcPr>
          <w:p>
            <w:r/>
            <w:r>
              <w:rPr>
                <w:rFonts w:ascii="Arial" w:hAnsi="Arial"/>
                <w:b w:val="0"/>
                <w:sz w:val="16"/>
              </w:rPr>
              <w:t>Week 1</w:t>
            </w:r>
          </w:p>
        </w:tc>
        <w:tc>
          <w:tcPr>
            <w:tcW w:type="dxa" w:w="2592"/>
          </w:tcPr>
          <w:p>
            <w:r/>
            <w:r>
              <w:rPr>
                <w:rFonts w:ascii="Arial" w:hAnsi="Arial"/>
                <w:b w:val="0"/>
                <w:sz w:val="16"/>
              </w:rPr>
              <w:t>Select decision + prepare dataset</w:t>
            </w:r>
          </w:p>
        </w:tc>
        <w:tc>
          <w:tcPr>
            <w:tcW w:type="dxa" w:w="2592"/>
          </w:tcPr>
          <w:p>
            <w:r/>
            <w:r>
              <w:rPr>
                <w:rFonts w:ascii="Arial" w:hAnsi="Arial"/>
                <w:b w:val="0"/>
                <w:sz w:val="16"/>
              </w:rPr>
              <w:t>Decision schema + 100–500 test cases</w:t>
            </w:r>
          </w:p>
        </w:tc>
        <w:tc>
          <w:tcPr>
            <w:tcW w:type="dxa" w:w="2592"/>
          </w:tcPr>
          <w:p>
            <w:r/>
            <w:r>
              <w:rPr>
                <w:rFonts w:ascii="Arial" w:hAnsi="Arial"/>
                <w:b w:val="0"/>
                <w:sz w:val="16"/>
              </w:rPr>
              <w:t>Use case approved</w:t>
            </w:r>
          </w:p>
        </w:tc>
      </w:tr>
      <w:tr>
        <w:tc>
          <w:tcPr>
            <w:tcW w:type="dxa" w:w="2592"/>
          </w:tcPr>
          <w:p>
            <w:r/>
            <w:r>
              <w:rPr>
                <w:rFonts w:ascii="Arial" w:hAnsi="Arial"/>
                <w:b w:val="0"/>
                <w:sz w:val="16"/>
              </w:rPr>
              <w:t>Week 2</w:t>
            </w:r>
          </w:p>
        </w:tc>
        <w:tc>
          <w:tcPr>
            <w:tcW w:type="dxa" w:w="2592"/>
          </w:tcPr>
          <w:p>
            <w:r/>
            <w:r>
              <w:rPr>
                <w:rFonts w:ascii="Arial" w:hAnsi="Arial"/>
                <w:b w:val="0"/>
                <w:sz w:val="16"/>
              </w:rPr>
              <w:t>Prototype + benchmark</w:t>
            </w:r>
          </w:p>
        </w:tc>
        <w:tc>
          <w:tcPr>
            <w:tcW w:type="dxa" w:w="2592"/>
          </w:tcPr>
          <w:p>
            <w:r/>
            <w:r>
              <w:rPr>
                <w:rFonts w:ascii="Arial" w:hAnsi="Arial"/>
                <w:b w:val="0"/>
                <w:sz w:val="16"/>
              </w:rPr>
              <w:t>Baseline metrics + failure analysis</w:t>
            </w:r>
          </w:p>
        </w:tc>
        <w:tc>
          <w:tcPr>
            <w:tcW w:type="dxa" w:w="2592"/>
          </w:tcPr>
          <w:p>
            <w:r/>
            <w:r>
              <w:rPr>
                <w:rFonts w:ascii="Arial" w:hAnsi="Arial"/>
                <w:b w:val="0"/>
                <w:sz w:val="16"/>
              </w:rPr>
              <w:t>Quality threshold met</w:t>
            </w:r>
          </w:p>
        </w:tc>
      </w:tr>
      <w:tr>
        <w:tc>
          <w:tcPr>
            <w:tcW w:type="dxa" w:w="2592"/>
          </w:tcPr>
          <w:p>
            <w:r/>
            <w:r>
              <w:rPr>
                <w:rFonts w:ascii="Arial" w:hAnsi="Arial"/>
                <w:b w:val="0"/>
                <w:sz w:val="16"/>
              </w:rPr>
              <w:t>Week 3</w:t>
            </w:r>
          </w:p>
        </w:tc>
        <w:tc>
          <w:tcPr>
            <w:tcW w:type="dxa" w:w="2592"/>
          </w:tcPr>
          <w:p>
            <w:r/>
            <w:r>
              <w:rPr>
                <w:rFonts w:ascii="Arial" w:hAnsi="Arial"/>
                <w:b w:val="0"/>
                <w:sz w:val="16"/>
              </w:rPr>
              <w:t>Backend integration + shadow mode</w:t>
            </w:r>
          </w:p>
        </w:tc>
        <w:tc>
          <w:tcPr>
            <w:tcW w:type="dxa" w:w="2592"/>
          </w:tcPr>
          <w:p>
            <w:r/>
            <w:r>
              <w:rPr>
                <w:rFonts w:ascii="Arial" w:hAnsi="Arial"/>
                <w:b w:val="0"/>
                <w:sz w:val="16"/>
              </w:rPr>
              <w:t>API adapter + logs + dashboard</w:t>
            </w:r>
          </w:p>
        </w:tc>
        <w:tc>
          <w:tcPr>
            <w:tcW w:type="dxa" w:w="2592"/>
          </w:tcPr>
          <w:p>
            <w:r/>
            <w:r>
              <w:rPr>
                <w:rFonts w:ascii="Arial" w:hAnsi="Arial"/>
                <w:b w:val="0"/>
                <w:sz w:val="16"/>
              </w:rPr>
              <w:t>No critical control gaps</w:t>
            </w:r>
          </w:p>
        </w:tc>
      </w:tr>
      <w:tr>
        <w:tc>
          <w:tcPr>
            <w:tcW w:type="dxa" w:w="2592"/>
          </w:tcPr>
          <w:p>
            <w:r/>
            <w:r>
              <w:rPr>
                <w:rFonts w:ascii="Arial" w:hAnsi="Arial"/>
                <w:b w:val="0"/>
                <w:sz w:val="16"/>
              </w:rPr>
              <w:t>Week 4</w:t>
            </w:r>
          </w:p>
        </w:tc>
        <w:tc>
          <w:tcPr>
            <w:tcW w:type="dxa" w:w="2592"/>
          </w:tcPr>
          <w:p>
            <w:r/>
            <w:r>
              <w:rPr>
                <w:rFonts w:ascii="Arial" w:hAnsi="Arial"/>
                <w:b w:val="0"/>
                <w:sz w:val="16"/>
              </w:rPr>
              <w:t>Limited pilot</w:t>
            </w:r>
          </w:p>
        </w:tc>
        <w:tc>
          <w:tcPr>
            <w:tcW w:type="dxa" w:w="2592"/>
          </w:tcPr>
          <w:p>
            <w:r/>
            <w:r>
              <w:rPr>
                <w:rFonts w:ascii="Arial" w:hAnsi="Arial"/>
                <w:b w:val="0"/>
                <w:sz w:val="16"/>
              </w:rPr>
              <w:t>Controlled production traffic + report</w:t>
            </w:r>
          </w:p>
        </w:tc>
        <w:tc>
          <w:tcPr>
            <w:tcW w:type="dxa" w:w="2592"/>
          </w:tcPr>
          <w:p>
            <w:r/>
            <w:r>
              <w:rPr>
                <w:rFonts w:ascii="Arial" w:hAnsi="Arial"/>
                <w:b w:val="0"/>
                <w:sz w:val="16"/>
              </w:rPr>
              <w:t>Go / revise / stop</w:t>
            </w:r>
          </w:p>
        </w:tc>
      </w:tr>
    </w:tbl>
    <w:p>
      <w:pPr>
        <w:pStyle w:val="Heading1"/>
      </w:pPr>
      <w:r>
        <w:t>Conclusion</w:t>
      </w:r>
    </w:p>
    <w:p>
      <w:pPr>
        <w:spacing w:after="40" w:line="240" w:lineRule="auto"/>
      </w:pPr>
      <w:r>
        <w:t>Jev can add a specialised decision capability to an AI lab without forcing every workflow through a general-purpose conversational LLM. The recommended implementation is incremental: begin with one measurable, low-risk decision; integrate through a server-side API; enforce deterministic business rules and human fallback; and evaluate the system in shadow mode before wider deployment.</w:t>
      </w:r>
    </w:p>
    <w:p>
      <w:pPr>
        <w:pStyle w:val="Heading1"/>
      </w:pPr>
      <w:r>
        <w:t>Sources / Further Reading</w:t>
      </w:r>
    </w:p>
    <w:p>
      <w:pPr>
        <w:pStyle w:val="ListBullet"/>
        <w:spacing w:after="20"/>
      </w:pPr>
      <w:r>
        <w:t>TypeSafe AI / JEVLAB — official/public Jev resources and integration overview.</w:t>
      </w:r>
    </w:p>
    <w:p>
      <w:pPr>
        <w:pStyle w:val="ListBullet"/>
        <w:spacing w:after="20"/>
      </w:pPr>
      <w:r>
        <w:t>Jev AI developer documentation — typed decisions, state/questions workflow and API integration.</w:t>
      </w:r>
    </w:p>
    <w:p>
      <w:pPr>
        <w:pStyle w:val="ListBullet"/>
        <w:spacing w:after="20"/>
      </w:pPr>
      <w:r>
        <w:t>Jev API Quickstart — server-side integration pattern and example workflow.</w:t>
      </w:r>
    </w:p>
    <w:p>
      <w:pPr>
        <w:pStyle w:val="ListBullet"/>
        <w:spacing w:after="20"/>
      </w:pPr>
      <w:r>
        <w:t>GitHub: jev-ai/jev-api — public API/project documentation.</w:t>
      </w:r>
    </w:p>
    <w:p>
      <w:pPr>
        <w:jc w:val="center"/>
      </w:pPr>
      <w:r>
        <w:rPr>
          <w:i/>
          <w:sz w:val="16"/>
        </w:rPr>
        <w:t>Prepared for AI Lab implementation planning • September 2026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