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406DC" w:rsidRDefault="00000000">
      <w:pPr>
        <w:pStyle w:val="Title"/>
        <w:jc w:val="center"/>
      </w:pPr>
      <w:r>
        <w:rPr>
          <w:rFonts w:ascii="Arial" w:hAnsi="Arial"/>
          <w:color w:val="000000"/>
          <w:sz w:val="18"/>
        </w:rPr>
        <w:t>Apple Silicon vs NVIDIA for a Cost-Effective AI Lab</w:t>
      </w:r>
    </w:p>
    <w:p w:rsidR="00D406DC" w:rsidRDefault="00000000">
      <w:pPr>
        <w:jc w:val="center"/>
      </w:pPr>
      <w:r>
        <w:rPr>
          <w:b/>
          <w:color w:val="000000"/>
        </w:rPr>
        <w:t>Infrastructure, Cost, Concurrency, Maintenance, Privacy and Scaling</w:t>
      </w:r>
    </w:p>
    <w:p w:rsidR="00D406DC" w:rsidRDefault="00000000">
      <w:pPr>
        <w:pStyle w:val="Heading1"/>
      </w:pPr>
      <w:r>
        <w:rPr>
          <w:rFonts w:ascii="Arial" w:hAnsi="Arial"/>
          <w:color w:val="000000"/>
          <w:sz w:val="18"/>
        </w:rPr>
        <w:t>1. Executive Summary</w:t>
      </w:r>
    </w:p>
    <w:p w:rsidR="00D406DC" w:rsidRDefault="00000000">
      <w:r>
        <w:rPr>
          <w:color w:val="000000"/>
        </w:rPr>
        <w:t>Objective: provide private, shared AI infrastructure for researchers while minimizing initial and long-term cost.</w:t>
      </w:r>
    </w:p>
    <w:p w:rsidR="00D406DC" w:rsidRDefault="00000000">
      <w:r>
        <w:rPr>
          <w:b/>
          <w:color w:val="000000"/>
        </w:rPr>
        <w:t xml:space="preserve">Apple strengths: </w:t>
      </w:r>
      <w:r>
        <w:rPr>
          <w:color w:val="000000"/>
        </w:rPr>
        <w:t>large unified-memory configurations, low system power, compact hardware and simple workstation-style maintenance.</w:t>
      </w:r>
    </w:p>
    <w:p w:rsidR="00D406DC" w:rsidRDefault="00000000">
      <w:r>
        <w:rPr>
          <w:b/>
          <w:color w:val="000000"/>
        </w:rPr>
        <w:t xml:space="preserve">NVIDIA strengths: </w:t>
      </w:r>
      <w:r>
        <w:rPr>
          <w:color w:val="000000"/>
        </w:rPr>
        <w:t>purpose-built AI accelerators, mature CUDA ecosystem, strong shared-serving capabilities and data-center features.</w:t>
      </w:r>
    </w:p>
    <w:p w:rsidR="00D406DC" w:rsidRDefault="00000000">
      <w:r>
        <w:rPr>
          <w:b/>
          <w:color w:val="000000"/>
        </w:rPr>
        <w:t xml:space="preserve">Decision principle: </w:t>
      </w:r>
      <w:r>
        <w:rPr>
          <w:color w:val="000000"/>
        </w:rPr>
        <w:t>Apple is attractive for low-power private inference and development; NVIDIA is the stronger foundation for a centralized multi-user AI service.</w:t>
      </w:r>
    </w:p>
    <w:p w:rsidR="00D406DC" w:rsidRDefault="00000000">
      <w:pPr>
        <w:pStyle w:val="Heading1"/>
      </w:pPr>
      <w:r>
        <w:rPr>
          <w:rFonts w:ascii="Arial" w:hAnsi="Arial"/>
          <w:color w:val="000000"/>
          <w:sz w:val="18"/>
        </w:rPr>
        <w:t>2. Representative Hardware</w:t>
      </w:r>
    </w:p>
    <w:tbl>
      <w:tblPr>
        <w:tblStyle w:val="TableGrid"/>
        <w:tblW w:w="0" w:type="auto"/>
        <w:jc w:val="center"/>
        <w:tblLook w:val="04A0" w:firstRow="1" w:lastRow="0" w:firstColumn="1" w:lastColumn="0" w:noHBand="0" w:noVBand="1"/>
      </w:tblPr>
      <w:tblGrid>
        <w:gridCol w:w="1752"/>
        <w:gridCol w:w="1752"/>
        <w:gridCol w:w="1752"/>
        <w:gridCol w:w="1752"/>
        <w:gridCol w:w="1752"/>
        <w:gridCol w:w="1752"/>
      </w:tblGrid>
      <w:tr w:rsidR="00D406DC">
        <w:trPr>
          <w:jc w:val="center"/>
        </w:trPr>
        <w:tc>
          <w:tcPr>
            <w:tcW w:w="1752" w:type="dxa"/>
          </w:tcPr>
          <w:p w:rsidR="00D406DC" w:rsidRDefault="00000000">
            <w:r>
              <w:rPr>
                <w:b/>
                <w:color w:val="000000"/>
                <w:sz w:val="17"/>
              </w:rPr>
              <w:t>System</w:t>
            </w:r>
          </w:p>
        </w:tc>
        <w:tc>
          <w:tcPr>
            <w:tcW w:w="1752" w:type="dxa"/>
          </w:tcPr>
          <w:p w:rsidR="00D406DC" w:rsidRDefault="00000000">
            <w:r>
              <w:rPr>
                <w:b/>
                <w:color w:val="000000"/>
                <w:sz w:val="17"/>
              </w:rPr>
              <w:t>Memory</w:t>
            </w:r>
          </w:p>
        </w:tc>
        <w:tc>
          <w:tcPr>
            <w:tcW w:w="1752" w:type="dxa"/>
          </w:tcPr>
          <w:p w:rsidR="00D406DC" w:rsidRDefault="00000000">
            <w:r>
              <w:rPr>
                <w:b/>
                <w:color w:val="000000"/>
                <w:sz w:val="17"/>
              </w:rPr>
              <w:t>Power / form</w:t>
            </w:r>
          </w:p>
        </w:tc>
        <w:tc>
          <w:tcPr>
            <w:tcW w:w="1752" w:type="dxa"/>
          </w:tcPr>
          <w:p w:rsidR="00D406DC" w:rsidRDefault="00000000">
            <w:r>
              <w:rPr>
                <w:b/>
                <w:color w:val="000000"/>
                <w:sz w:val="17"/>
              </w:rPr>
              <w:t>Qwen 35B</w:t>
            </w:r>
          </w:p>
        </w:tc>
        <w:tc>
          <w:tcPr>
            <w:tcW w:w="1752" w:type="dxa"/>
          </w:tcPr>
          <w:p w:rsidR="00D406DC" w:rsidRDefault="00000000">
            <w:r>
              <w:rPr>
                <w:b/>
                <w:color w:val="000000"/>
                <w:sz w:val="17"/>
              </w:rPr>
              <w:t>Gemma 26B</w:t>
            </w:r>
          </w:p>
        </w:tc>
        <w:tc>
          <w:tcPr>
            <w:tcW w:w="1752" w:type="dxa"/>
          </w:tcPr>
          <w:p w:rsidR="00D406DC" w:rsidRDefault="00000000">
            <w:r>
              <w:rPr>
                <w:b/>
                <w:color w:val="000000"/>
                <w:sz w:val="17"/>
              </w:rPr>
              <w:t>Best role</w:t>
            </w:r>
          </w:p>
        </w:tc>
      </w:tr>
      <w:tr w:rsidR="00D406DC">
        <w:trPr>
          <w:jc w:val="center"/>
        </w:trPr>
        <w:tc>
          <w:tcPr>
            <w:tcW w:w="1752" w:type="dxa"/>
          </w:tcPr>
          <w:p w:rsidR="00D406DC" w:rsidRDefault="00000000">
            <w:r>
              <w:rPr>
                <w:color w:val="000000"/>
                <w:sz w:val="17"/>
              </w:rPr>
              <w:t>Mac mini M4 Pro</w:t>
            </w:r>
          </w:p>
        </w:tc>
        <w:tc>
          <w:tcPr>
            <w:tcW w:w="1752" w:type="dxa"/>
          </w:tcPr>
          <w:p w:rsidR="00D406DC" w:rsidRDefault="00000000">
            <w:r>
              <w:rPr>
                <w:color w:val="000000"/>
                <w:sz w:val="17"/>
              </w:rPr>
              <w:t>24/48/64 GB unified</w:t>
            </w:r>
          </w:p>
        </w:tc>
        <w:tc>
          <w:tcPr>
            <w:tcW w:w="1752" w:type="dxa"/>
          </w:tcPr>
          <w:p w:rsidR="00D406DC" w:rsidRDefault="00000000">
            <w:r>
              <w:rPr>
                <w:color w:val="000000"/>
                <w:sz w:val="17"/>
              </w:rPr>
              <w:t>155W max continuous</w:t>
            </w:r>
          </w:p>
        </w:tc>
        <w:tc>
          <w:tcPr>
            <w:tcW w:w="1752" w:type="dxa"/>
          </w:tcPr>
          <w:p w:rsidR="00D406DC" w:rsidRDefault="00000000">
            <w:r>
              <w:rPr>
                <w:color w:val="000000"/>
                <w:sz w:val="17"/>
              </w:rPr>
              <w:t>64GB: Yes</w:t>
            </w:r>
          </w:p>
        </w:tc>
        <w:tc>
          <w:tcPr>
            <w:tcW w:w="1752" w:type="dxa"/>
          </w:tcPr>
          <w:p w:rsidR="00D406DC" w:rsidRDefault="00000000">
            <w:r>
              <w:rPr>
                <w:color w:val="000000"/>
                <w:sz w:val="17"/>
              </w:rPr>
              <w:t>Yes</w:t>
            </w:r>
          </w:p>
        </w:tc>
        <w:tc>
          <w:tcPr>
            <w:tcW w:w="1752" w:type="dxa"/>
          </w:tcPr>
          <w:p w:rsidR="00D406DC" w:rsidRDefault="00000000">
            <w:r>
              <w:rPr>
                <w:color w:val="000000"/>
                <w:sz w:val="17"/>
              </w:rPr>
              <w:t>Low-cost node / development</w:t>
            </w:r>
          </w:p>
        </w:tc>
      </w:tr>
      <w:tr w:rsidR="00D406DC">
        <w:trPr>
          <w:jc w:val="center"/>
        </w:trPr>
        <w:tc>
          <w:tcPr>
            <w:tcW w:w="1752" w:type="dxa"/>
          </w:tcPr>
          <w:p w:rsidR="00D406DC" w:rsidRDefault="00000000">
            <w:r>
              <w:rPr>
                <w:color w:val="000000"/>
                <w:sz w:val="17"/>
              </w:rPr>
              <w:t>Mac Studio M4 Max</w:t>
            </w:r>
          </w:p>
        </w:tc>
        <w:tc>
          <w:tcPr>
            <w:tcW w:w="1752" w:type="dxa"/>
          </w:tcPr>
          <w:p w:rsidR="00D406DC" w:rsidRDefault="00000000">
            <w:r>
              <w:rPr>
                <w:color w:val="000000"/>
                <w:sz w:val="17"/>
              </w:rPr>
              <w:t>36GB+ configs</w:t>
            </w:r>
          </w:p>
        </w:tc>
        <w:tc>
          <w:tcPr>
            <w:tcW w:w="1752" w:type="dxa"/>
          </w:tcPr>
          <w:p w:rsidR="00D406DC" w:rsidRDefault="00000000">
            <w:r>
              <w:rPr>
                <w:color w:val="000000"/>
                <w:sz w:val="17"/>
              </w:rPr>
              <w:t>145W max for listed 2025 config</w:t>
            </w:r>
          </w:p>
        </w:tc>
        <w:tc>
          <w:tcPr>
            <w:tcW w:w="1752" w:type="dxa"/>
          </w:tcPr>
          <w:p w:rsidR="00D406DC" w:rsidRDefault="00000000">
            <w:r>
              <w:rPr>
                <w:color w:val="000000"/>
                <w:sz w:val="17"/>
              </w:rPr>
              <w:t>High-memory config preferred</w:t>
            </w:r>
          </w:p>
        </w:tc>
        <w:tc>
          <w:tcPr>
            <w:tcW w:w="1752" w:type="dxa"/>
          </w:tcPr>
          <w:p w:rsidR="00D406DC" w:rsidRDefault="00000000">
            <w:r>
              <w:rPr>
                <w:color w:val="000000"/>
                <w:sz w:val="17"/>
              </w:rPr>
              <w:t>Yes</w:t>
            </w:r>
          </w:p>
        </w:tc>
        <w:tc>
          <w:tcPr>
            <w:tcW w:w="1752" w:type="dxa"/>
          </w:tcPr>
          <w:p w:rsidR="00D406DC" w:rsidRDefault="00000000">
            <w:r>
              <w:rPr>
                <w:color w:val="000000"/>
                <w:sz w:val="17"/>
              </w:rPr>
              <w:t>Apple workstation / small server</w:t>
            </w:r>
          </w:p>
        </w:tc>
      </w:tr>
      <w:tr w:rsidR="00D406DC">
        <w:trPr>
          <w:jc w:val="center"/>
        </w:trPr>
        <w:tc>
          <w:tcPr>
            <w:tcW w:w="1752" w:type="dxa"/>
          </w:tcPr>
          <w:p w:rsidR="00D406DC" w:rsidRDefault="00000000">
            <w:r>
              <w:rPr>
                <w:color w:val="000000"/>
                <w:sz w:val="17"/>
              </w:rPr>
              <w:t>Mac Studio M3 Ultra</w:t>
            </w:r>
          </w:p>
        </w:tc>
        <w:tc>
          <w:tcPr>
            <w:tcW w:w="1752" w:type="dxa"/>
          </w:tcPr>
          <w:p w:rsidR="00D406DC" w:rsidRDefault="00000000">
            <w:r>
              <w:rPr>
                <w:color w:val="000000"/>
                <w:sz w:val="17"/>
              </w:rPr>
              <w:t>Up to 512GB unified</w:t>
            </w:r>
          </w:p>
        </w:tc>
        <w:tc>
          <w:tcPr>
            <w:tcW w:w="1752" w:type="dxa"/>
          </w:tcPr>
          <w:p w:rsidR="00D406DC" w:rsidRDefault="00000000">
            <w:r>
              <w:rPr>
                <w:color w:val="000000"/>
                <w:sz w:val="17"/>
              </w:rPr>
              <w:t>270W max for listed 2025 config</w:t>
            </w:r>
          </w:p>
        </w:tc>
        <w:tc>
          <w:tcPr>
            <w:tcW w:w="1752" w:type="dxa"/>
          </w:tcPr>
          <w:p w:rsidR="00D406DC" w:rsidRDefault="00000000">
            <w:r>
              <w:rPr>
                <w:color w:val="000000"/>
                <w:sz w:val="17"/>
              </w:rPr>
              <w:t>Yes; huge headroom</w:t>
            </w:r>
          </w:p>
        </w:tc>
        <w:tc>
          <w:tcPr>
            <w:tcW w:w="1752" w:type="dxa"/>
          </w:tcPr>
          <w:p w:rsidR="00D406DC" w:rsidRDefault="00000000">
            <w:r>
              <w:rPr>
                <w:color w:val="000000"/>
                <w:sz w:val="17"/>
              </w:rPr>
              <w:t>Yes</w:t>
            </w:r>
          </w:p>
        </w:tc>
        <w:tc>
          <w:tcPr>
            <w:tcW w:w="1752" w:type="dxa"/>
          </w:tcPr>
          <w:p w:rsidR="00D406DC" w:rsidRDefault="00000000">
            <w:r>
              <w:rPr>
                <w:color w:val="000000"/>
                <w:sz w:val="17"/>
              </w:rPr>
              <w:t>High-memory Apple node</w:t>
            </w:r>
          </w:p>
        </w:tc>
      </w:tr>
      <w:tr w:rsidR="00D406DC">
        <w:trPr>
          <w:jc w:val="center"/>
        </w:trPr>
        <w:tc>
          <w:tcPr>
            <w:tcW w:w="1752" w:type="dxa"/>
          </w:tcPr>
          <w:p w:rsidR="00D406DC" w:rsidRDefault="00000000">
            <w:r>
              <w:rPr>
                <w:color w:val="000000"/>
                <w:sz w:val="17"/>
              </w:rPr>
              <w:t>NVIDIA L40S</w:t>
            </w:r>
          </w:p>
        </w:tc>
        <w:tc>
          <w:tcPr>
            <w:tcW w:w="1752" w:type="dxa"/>
          </w:tcPr>
          <w:p w:rsidR="00D406DC" w:rsidRDefault="00000000">
            <w:r>
              <w:rPr>
                <w:color w:val="000000"/>
                <w:sz w:val="17"/>
              </w:rPr>
              <w:t>48GB GDDR6 ECC</w:t>
            </w:r>
          </w:p>
        </w:tc>
        <w:tc>
          <w:tcPr>
            <w:tcW w:w="1752" w:type="dxa"/>
          </w:tcPr>
          <w:p w:rsidR="00D406DC" w:rsidRDefault="00000000">
            <w:r>
              <w:rPr>
                <w:color w:val="000000"/>
                <w:sz w:val="17"/>
              </w:rPr>
              <w:t>350W GPU</w:t>
            </w:r>
          </w:p>
        </w:tc>
        <w:tc>
          <w:tcPr>
            <w:tcW w:w="1752" w:type="dxa"/>
          </w:tcPr>
          <w:p w:rsidR="00D406DC" w:rsidRDefault="00000000">
            <w:r>
              <w:rPr>
                <w:color w:val="000000"/>
                <w:sz w:val="17"/>
              </w:rPr>
              <w:t>Yes</w:t>
            </w:r>
          </w:p>
        </w:tc>
        <w:tc>
          <w:tcPr>
            <w:tcW w:w="1752" w:type="dxa"/>
          </w:tcPr>
          <w:p w:rsidR="00D406DC" w:rsidRDefault="00000000">
            <w:r>
              <w:rPr>
                <w:color w:val="000000"/>
                <w:sz w:val="17"/>
              </w:rPr>
              <w:t>Yes</w:t>
            </w:r>
          </w:p>
        </w:tc>
        <w:tc>
          <w:tcPr>
            <w:tcW w:w="1752" w:type="dxa"/>
          </w:tcPr>
          <w:p w:rsidR="00D406DC" w:rsidRDefault="00000000">
            <w:r>
              <w:rPr>
                <w:color w:val="000000"/>
                <w:sz w:val="17"/>
              </w:rPr>
              <w:t>Shared inference server</w:t>
            </w:r>
          </w:p>
        </w:tc>
      </w:tr>
      <w:tr w:rsidR="00D406DC">
        <w:trPr>
          <w:jc w:val="center"/>
        </w:trPr>
        <w:tc>
          <w:tcPr>
            <w:tcW w:w="1752" w:type="dxa"/>
          </w:tcPr>
          <w:p w:rsidR="00D406DC" w:rsidRDefault="00000000">
            <w:r>
              <w:rPr>
                <w:color w:val="000000"/>
                <w:sz w:val="17"/>
              </w:rPr>
              <w:t>NVIDIA A100 80GB</w:t>
            </w:r>
          </w:p>
        </w:tc>
        <w:tc>
          <w:tcPr>
            <w:tcW w:w="1752" w:type="dxa"/>
          </w:tcPr>
          <w:p w:rsidR="00D406DC" w:rsidRDefault="00000000">
            <w:r>
              <w:rPr>
                <w:color w:val="000000"/>
                <w:sz w:val="17"/>
              </w:rPr>
              <w:t>80GB HBM2e</w:t>
            </w:r>
          </w:p>
        </w:tc>
        <w:tc>
          <w:tcPr>
            <w:tcW w:w="1752" w:type="dxa"/>
          </w:tcPr>
          <w:p w:rsidR="00D406DC" w:rsidRDefault="00000000">
            <w:r>
              <w:rPr>
                <w:color w:val="000000"/>
                <w:sz w:val="17"/>
              </w:rPr>
              <w:t>300W PCIe</w:t>
            </w:r>
          </w:p>
        </w:tc>
        <w:tc>
          <w:tcPr>
            <w:tcW w:w="1752" w:type="dxa"/>
          </w:tcPr>
          <w:p w:rsidR="00D406DC" w:rsidRDefault="00000000">
            <w:r>
              <w:rPr>
                <w:color w:val="000000"/>
                <w:sz w:val="17"/>
              </w:rPr>
              <w:t>Yes; excellent</w:t>
            </w:r>
          </w:p>
        </w:tc>
        <w:tc>
          <w:tcPr>
            <w:tcW w:w="1752" w:type="dxa"/>
          </w:tcPr>
          <w:p w:rsidR="00D406DC" w:rsidRDefault="00000000">
            <w:r>
              <w:rPr>
                <w:color w:val="000000"/>
                <w:sz w:val="17"/>
              </w:rPr>
              <w:t>Yes; excellent</w:t>
            </w:r>
          </w:p>
        </w:tc>
        <w:tc>
          <w:tcPr>
            <w:tcW w:w="1752" w:type="dxa"/>
          </w:tcPr>
          <w:p w:rsidR="00D406DC" w:rsidRDefault="00000000">
            <w:r>
              <w:rPr>
                <w:color w:val="000000"/>
                <w:sz w:val="17"/>
              </w:rPr>
              <w:t>Data-center shared inference</w:t>
            </w:r>
          </w:p>
        </w:tc>
      </w:tr>
      <w:tr w:rsidR="00D406DC">
        <w:trPr>
          <w:jc w:val="center"/>
        </w:trPr>
        <w:tc>
          <w:tcPr>
            <w:tcW w:w="1752" w:type="dxa"/>
          </w:tcPr>
          <w:p w:rsidR="00D406DC" w:rsidRDefault="00000000">
            <w:r>
              <w:rPr>
                <w:color w:val="000000"/>
                <w:sz w:val="17"/>
              </w:rPr>
              <w:t>NVIDIA H100 80GB</w:t>
            </w:r>
          </w:p>
        </w:tc>
        <w:tc>
          <w:tcPr>
            <w:tcW w:w="1752" w:type="dxa"/>
          </w:tcPr>
          <w:p w:rsidR="00D406DC" w:rsidRDefault="00000000">
            <w:r>
              <w:rPr>
                <w:color w:val="000000"/>
                <w:sz w:val="17"/>
              </w:rPr>
              <w:t>80GB HBM3</w:t>
            </w:r>
          </w:p>
        </w:tc>
        <w:tc>
          <w:tcPr>
            <w:tcW w:w="1752" w:type="dxa"/>
          </w:tcPr>
          <w:p w:rsidR="00D406DC" w:rsidRDefault="00000000">
            <w:r>
              <w:rPr>
                <w:color w:val="000000"/>
                <w:sz w:val="17"/>
              </w:rPr>
              <w:t>High-power data center</w:t>
            </w:r>
          </w:p>
        </w:tc>
        <w:tc>
          <w:tcPr>
            <w:tcW w:w="1752" w:type="dxa"/>
          </w:tcPr>
          <w:p w:rsidR="00D406DC" w:rsidRDefault="00000000">
            <w:r>
              <w:rPr>
                <w:color w:val="000000"/>
                <w:sz w:val="17"/>
              </w:rPr>
              <w:t>Yes; excellent</w:t>
            </w:r>
          </w:p>
        </w:tc>
        <w:tc>
          <w:tcPr>
            <w:tcW w:w="1752" w:type="dxa"/>
          </w:tcPr>
          <w:p w:rsidR="00D406DC" w:rsidRDefault="00000000">
            <w:r>
              <w:rPr>
                <w:color w:val="000000"/>
                <w:sz w:val="17"/>
              </w:rPr>
              <w:t>Yes; excellent</w:t>
            </w:r>
          </w:p>
        </w:tc>
        <w:tc>
          <w:tcPr>
            <w:tcW w:w="1752" w:type="dxa"/>
          </w:tcPr>
          <w:p w:rsidR="00D406DC" w:rsidRDefault="00000000">
            <w:r>
              <w:rPr>
                <w:color w:val="000000"/>
                <w:sz w:val="17"/>
              </w:rPr>
              <w:t>Heavy production workloads</w:t>
            </w:r>
          </w:p>
        </w:tc>
      </w:tr>
    </w:tbl>
    <w:p w:rsidR="00D406DC" w:rsidRDefault="00000000">
      <w:pPr>
        <w:pStyle w:val="Heading1"/>
      </w:pPr>
      <w:r>
        <w:rPr>
          <w:rFonts w:ascii="Arial" w:hAnsi="Arial"/>
          <w:color w:val="000000"/>
          <w:sz w:val="18"/>
        </w:rPr>
        <w:t>3. Apple: Why Use It?</w:t>
      </w:r>
    </w:p>
    <w:p w:rsidR="00D406DC" w:rsidRDefault="00000000">
      <w:r>
        <w:rPr>
          <w:b/>
          <w:color w:val="000000"/>
        </w:rPr>
        <w:t xml:space="preserve">Unified memory: </w:t>
      </w:r>
      <w:r>
        <w:rPr>
          <w:color w:val="000000"/>
        </w:rPr>
        <w:t>Large-memory Macs can keep model weights, context and application data in one shared memory pool.</w:t>
      </w:r>
    </w:p>
    <w:p w:rsidR="00D406DC" w:rsidRDefault="00000000">
      <w:r>
        <w:rPr>
          <w:b/>
          <w:color w:val="000000"/>
        </w:rPr>
        <w:t xml:space="preserve">Power: </w:t>
      </w:r>
      <w:r>
        <w:rPr>
          <w:color w:val="000000"/>
        </w:rPr>
        <w:t>Apple's published 2025 examples show Mac Studio M4 Max at 6W idle/145W max and M3 Ultra at 9W idle/270W max.</w:t>
      </w:r>
    </w:p>
    <w:p w:rsidR="00D406DC" w:rsidRDefault="00000000">
      <w:r>
        <w:rPr>
          <w:b/>
          <w:color w:val="000000"/>
        </w:rPr>
        <w:t xml:space="preserve">Operational simplicity: </w:t>
      </w:r>
      <w:r>
        <w:rPr>
          <w:color w:val="000000"/>
        </w:rPr>
        <w:t>Complete compact computers are easier to deploy than passive data-center accelerators requiring a server platform.</w:t>
      </w:r>
    </w:p>
    <w:p w:rsidR="00D406DC" w:rsidRDefault="00000000">
      <w:r>
        <w:rPr>
          <w:b/>
          <w:color w:val="000000"/>
        </w:rPr>
        <w:t xml:space="preserve">Privacy: </w:t>
      </w:r>
      <w:r>
        <w:rPr>
          <w:color w:val="000000"/>
        </w:rPr>
        <w:t>A fully local deployment can keep prompts and source code inside the institution, subject to correct network/security configuration.</w:t>
      </w:r>
    </w:p>
    <w:p w:rsidR="00D406DC" w:rsidRDefault="00000000">
      <w:r>
        <w:rPr>
          <w:b/>
          <w:color w:val="000000"/>
        </w:rPr>
        <w:t xml:space="preserve">Development: </w:t>
      </w:r>
      <w:r>
        <w:rPr>
          <w:color w:val="000000"/>
        </w:rPr>
        <w:t>Good platform for researchers building RAG, agents, embeddings and local prototypes.</w:t>
      </w:r>
    </w:p>
    <w:p w:rsidR="00D406DC" w:rsidRDefault="00000000">
      <w:pPr>
        <w:pStyle w:val="Heading1"/>
      </w:pPr>
      <w:r>
        <w:rPr>
          <w:rFonts w:ascii="Arial" w:hAnsi="Arial"/>
          <w:color w:val="000000"/>
          <w:sz w:val="18"/>
        </w:rPr>
        <w:t>4. Apple: Trade-offs</w:t>
      </w:r>
    </w:p>
    <w:p w:rsidR="00D406DC" w:rsidRDefault="00000000">
      <w:r>
        <w:rPr>
          <w:b/>
          <w:color w:val="000000"/>
        </w:rPr>
        <w:t xml:space="preserve">Serving ecosystem: </w:t>
      </w:r>
      <w:r>
        <w:rPr>
          <w:color w:val="000000"/>
        </w:rPr>
        <w:t>NVIDIA has a more mature CUDA-centric production AI ecosystem. vLLM supports Apple Silicon through vLLM-Metal, but this is a separate/community-maintained Metal path.</w:t>
      </w:r>
    </w:p>
    <w:p w:rsidR="00D406DC" w:rsidRDefault="00000000">
      <w:r>
        <w:rPr>
          <w:b/>
          <w:color w:val="000000"/>
        </w:rPr>
        <w:t xml:space="preserve">Concurrency: </w:t>
      </w:r>
      <w:r>
        <w:rPr>
          <w:color w:val="000000"/>
        </w:rPr>
        <w:t>No fixed user count can be inferred from RAM. Throughput depends on model, context, batching and concurrency.</w:t>
      </w:r>
    </w:p>
    <w:p w:rsidR="00D406DC" w:rsidRDefault="00000000">
      <w:r>
        <w:rPr>
          <w:b/>
          <w:color w:val="000000"/>
        </w:rPr>
        <w:t xml:space="preserve">Clustering: </w:t>
      </w:r>
      <w:r>
        <w:rPr>
          <w:color w:val="000000"/>
        </w:rPr>
        <w:t>Five 64GB Macs provide five independent workers; they do not automatically become one 320GB GPU.</w:t>
      </w:r>
    </w:p>
    <w:p w:rsidR="00D406DC" w:rsidRDefault="00000000">
      <w:r>
        <w:rPr>
          <w:b/>
          <w:color w:val="000000"/>
        </w:rPr>
        <w:t xml:space="preserve">Upgradeability: </w:t>
      </w:r>
      <w:r>
        <w:rPr>
          <w:color w:val="000000"/>
        </w:rPr>
        <w:t>Memory/GPU resources are integrated; later hardware upgrades are limited.</w:t>
      </w:r>
    </w:p>
    <w:p w:rsidR="00D406DC" w:rsidRDefault="00000000">
      <w:r>
        <w:rPr>
          <w:b/>
          <w:color w:val="000000"/>
        </w:rPr>
        <w:t xml:space="preserve">Cost at high memory: </w:t>
      </w:r>
      <w:r>
        <w:rPr>
          <w:color w:val="000000"/>
        </w:rPr>
        <w:t>Large unified-memory configurations can become expensive.</w:t>
      </w:r>
    </w:p>
    <w:p w:rsidR="00D406DC" w:rsidRDefault="00000000">
      <w:pPr>
        <w:pStyle w:val="Heading1"/>
      </w:pPr>
      <w:r>
        <w:rPr>
          <w:rFonts w:ascii="Arial" w:hAnsi="Arial"/>
          <w:color w:val="000000"/>
          <w:sz w:val="18"/>
        </w:rPr>
        <w:t>5. NVIDIA: Why Use It?</w:t>
      </w:r>
    </w:p>
    <w:p w:rsidR="00D406DC" w:rsidRDefault="00000000">
      <w:r>
        <w:rPr>
          <w:b/>
          <w:color w:val="000000"/>
        </w:rPr>
        <w:t xml:space="preserve">AI-native hardware: </w:t>
      </w:r>
      <w:r>
        <w:rPr>
          <w:color w:val="000000"/>
        </w:rPr>
        <w:t>L40S has 48GB ECC memory and 864GB/s bandwidth; NVIDIA positions it for generative AI.</w:t>
      </w:r>
    </w:p>
    <w:p w:rsidR="00D406DC" w:rsidRDefault="00000000">
      <w:r>
        <w:rPr>
          <w:b/>
          <w:color w:val="000000"/>
        </w:rPr>
        <w:t xml:space="preserve">High-memory data-center option: </w:t>
      </w:r>
      <w:r>
        <w:rPr>
          <w:color w:val="000000"/>
        </w:rPr>
        <w:t>A100 80GB provides 80GB HBM2e and about 1.94–2.04TB/s bandwidth.</w:t>
      </w:r>
    </w:p>
    <w:p w:rsidR="00D406DC" w:rsidRDefault="00000000">
      <w:r>
        <w:rPr>
          <w:b/>
          <w:color w:val="000000"/>
        </w:rPr>
        <w:lastRenderedPageBreak/>
        <w:t xml:space="preserve">Multi-user features: </w:t>
      </w:r>
      <w:r>
        <w:rPr>
          <w:color w:val="000000"/>
        </w:rPr>
        <w:t>A100 supports up to seven MIG instances, allowing hardware partitioning for multiple workloads.</w:t>
      </w:r>
    </w:p>
    <w:p w:rsidR="00D406DC" w:rsidRDefault="00000000">
      <w:r>
        <w:rPr>
          <w:b/>
          <w:color w:val="000000"/>
        </w:rPr>
        <w:t xml:space="preserve">Software ecosystem: </w:t>
      </w:r>
      <w:r>
        <w:rPr>
          <w:color w:val="000000"/>
        </w:rPr>
        <w:t>CUDA and the NVIDIA inference stack provide broad support for serving, fine-tuning and research.</w:t>
      </w:r>
    </w:p>
    <w:p w:rsidR="00D406DC" w:rsidRDefault="00000000">
      <w:r>
        <w:rPr>
          <w:b/>
          <w:color w:val="000000"/>
        </w:rPr>
        <w:t xml:space="preserve">Scaling: </w:t>
      </w:r>
      <w:r>
        <w:rPr>
          <w:color w:val="000000"/>
        </w:rPr>
        <w:t>GPU servers can scale from one accelerator to multi-GPU systems and larger clusters.</w:t>
      </w:r>
    </w:p>
    <w:p w:rsidR="00D406DC" w:rsidRDefault="00000000">
      <w:pPr>
        <w:pStyle w:val="Heading1"/>
      </w:pPr>
      <w:r>
        <w:rPr>
          <w:rFonts w:ascii="Arial" w:hAnsi="Arial"/>
          <w:color w:val="000000"/>
          <w:sz w:val="18"/>
        </w:rPr>
        <w:t>6. NVIDIA: Trade-offs</w:t>
      </w:r>
    </w:p>
    <w:p w:rsidR="00D406DC" w:rsidRDefault="00000000">
      <w:r>
        <w:rPr>
          <w:b/>
          <w:color w:val="000000"/>
        </w:rPr>
        <w:t xml:space="preserve">Initial cost: </w:t>
      </w:r>
      <w:r>
        <w:rPr>
          <w:color w:val="000000"/>
        </w:rPr>
        <w:t>Server chassis, accelerator, cooling, power and networking can make total system cost high.</w:t>
      </w:r>
    </w:p>
    <w:p w:rsidR="00D406DC" w:rsidRDefault="00000000">
      <w:r>
        <w:rPr>
          <w:b/>
          <w:color w:val="000000"/>
        </w:rPr>
        <w:t xml:space="preserve">Power/cooling: </w:t>
      </w:r>
      <w:r>
        <w:rPr>
          <w:color w:val="000000"/>
        </w:rPr>
        <w:t>L40S is 350W for the GPU alone; A100 80GB PCIe is 300W.</w:t>
      </w:r>
    </w:p>
    <w:p w:rsidR="00D406DC" w:rsidRDefault="00000000">
      <w:r>
        <w:rPr>
          <w:b/>
          <w:color w:val="000000"/>
        </w:rPr>
        <w:t xml:space="preserve">Maintenance: </w:t>
      </w:r>
      <w:r>
        <w:rPr>
          <w:color w:val="000000"/>
        </w:rPr>
        <w:t>Linux, drivers, CUDA, containers, firmware, monitoring and cooling require more operational expertise.</w:t>
      </w:r>
    </w:p>
    <w:p w:rsidR="00D406DC" w:rsidRDefault="00000000">
      <w:r>
        <w:rPr>
          <w:b/>
          <w:color w:val="000000"/>
        </w:rPr>
        <w:t xml:space="preserve">Specialist skills: </w:t>
      </w:r>
      <w:r>
        <w:rPr>
          <w:color w:val="000000"/>
        </w:rPr>
        <w:t>A shared GPU service usually needs stronger infrastructure/DevOps capability.</w:t>
      </w:r>
    </w:p>
    <w:p w:rsidR="00D406DC" w:rsidRDefault="00000000">
      <w:pPr>
        <w:pStyle w:val="Heading1"/>
      </w:pPr>
      <w:r>
        <w:rPr>
          <w:rFonts w:ascii="Arial" w:hAnsi="Arial"/>
          <w:color w:val="000000"/>
          <w:sz w:val="18"/>
        </w:rPr>
        <w:t>7. Concurrency and 5–10 Mac Mini Clustering</w:t>
      </w:r>
    </w:p>
    <w:p w:rsidR="00D406DC" w:rsidRDefault="00000000">
      <w:r>
        <w:rPr>
          <w:color w:val="000000"/>
        </w:rPr>
        <w:t>Do not promise a fixed number of users from VRAM alone. A model fitting in memory does not mean a fixed number of users can receive a target tokens/sec.</w:t>
      </w:r>
    </w:p>
    <w:tbl>
      <w:tblPr>
        <w:tblStyle w:val="TableGrid"/>
        <w:tblW w:w="0" w:type="auto"/>
        <w:tblLook w:val="04A0" w:firstRow="1" w:lastRow="0" w:firstColumn="1" w:lastColumn="0" w:noHBand="0" w:noVBand="1"/>
      </w:tblPr>
      <w:tblGrid>
        <w:gridCol w:w="2628"/>
        <w:gridCol w:w="2628"/>
        <w:gridCol w:w="2628"/>
        <w:gridCol w:w="2628"/>
      </w:tblGrid>
      <w:tr w:rsidR="00D406DC">
        <w:tc>
          <w:tcPr>
            <w:tcW w:w="2628" w:type="dxa"/>
          </w:tcPr>
          <w:p w:rsidR="00D406DC" w:rsidRDefault="00000000">
            <w:r>
              <w:rPr>
                <w:b/>
                <w:color w:val="000000"/>
                <w:sz w:val="17"/>
              </w:rPr>
              <w:t>Scenario</w:t>
            </w:r>
          </w:p>
        </w:tc>
        <w:tc>
          <w:tcPr>
            <w:tcW w:w="2628" w:type="dxa"/>
          </w:tcPr>
          <w:p w:rsidR="00D406DC" w:rsidRDefault="00000000">
            <w:r>
              <w:rPr>
                <w:b/>
                <w:color w:val="000000"/>
                <w:sz w:val="17"/>
              </w:rPr>
              <w:t>Apple</w:t>
            </w:r>
          </w:p>
        </w:tc>
        <w:tc>
          <w:tcPr>
            <w:tcW w:w="2628" w:type="dxa"/>
          </w:tcPr>
          <w:p w:rsidR="00D406DC" w:rsidRDefault="00000000">
            <w:r>
              <w:rPr>
                <w:b/>
                <w:color w:val="000000"/>
                <w:sz w:val="17"/>
              </w:rPr>
              <w:t>NVIDIA</w:t>
            </w:r>
          </w:p>
        </w:tc>
        <w:tc>
          <w:tcPr>
            <w:tcW w:w="2628" w:type="dxa"/>
          </w:tcPr>
          <w:p w:rsidR="00D406DC" w:rsidRDefault="00000000">
            <w:r>
              <w:rPr>
                <w:b/>
                <w:color w:val="000000"/>
                <w:sz w:val="17"/>
              </w:rPr>
              <w:t>Planning view</w:t>
            </w:r>
          </w:p>
        </w:tc>
      </w:tr>
      <w:tr w:rsidR="00D406DC">
        <w:tc>
          <w:tcPr>
            <w:tcW w:w="2628" w:type="dxa"/>
          </w:tcPr>
          <w:p w:rsidR="00D406DC" w:rsidRDefault="00000000">
            <w:r>
              <w:rPr>
                <w:color w:val="000000"/>
                <w:sz w:val="17"/>
              </w:rPr>
              <w:t>1–3 researchers</w:t>
            </w:r>
          </w:p>
        </w:tc>
        <w:tc>
          <w:tcPr>
            <w:tcW w:w="2628" w:type="dxa"/>
          </w:tcPr>
          <w:p w:rsidR="00D406DC" w:rsidRDefault="00000000">
            <w:r>
              <w:rPr>
                <w:color w:val="000000"/>
                <w:sz w:val="17"/>
              </w:rPr>
              <w:t>1 high-memory Mac can be practical</w:t>
            </w:r>
          </w:p>
        </w:tc>
        <w:tc>
          <w:tcPr>
            <w:tcW w:w="2628" w:type="dxa"/>
          </w:tcPr>
          <w:p w:rsidR="00D406DC" w:rsidRDefault="00000000">
            <w:r>
              <w:rPr>
                <w:color w:val="000000"/>
                <w:sz w:val="17"/>
              </w:rPr>
              <w:t>1 L40S can be practical</w:t>
            </w:r>
          </w:p>
        </w:tc>
        <w:tc>
          <w:tcPr>
            <w:tcW w:w="2628" w:type="dxa"/>
          </w:tcPr>
          <w:p w:rsidR="00D406DC" w:rsidRDefault="00000000">
            <w:r>
              <w:rPr>
                <w:color w:val="000000"/>
                <w:sz w:val="17"/>
              </w:rPr>
              <w:t>Apple attractive for low-cost pilot</w:t>
            </w:r>
          </w:p>
        </w:tc>
      </w:tr>
      <w:tr w:rsidR="00D406DC">
        <w:tc>
          <w:tcPr>
            <w:tcW w:w="2628" w:type="dxa"/>
          </w:tcPr>
          <w:p w:rsidR="00D406DC" w:rsidRDefault="00000000">
            <w:r>
              <w:rPr>
                <w:color w:val="000000"/>
                <w:sz w:val="17"/>
              </w:rPr>
              <w:t>Several concurrent researchers</w:t>
            </w:r>
          </w:p>
        </w:tc>
        <w:tc>
          <w:tcPr>
            <w:tcW w:w="2628" w:type="dxa"/>
          </w:tcPr>
          <w:p w:rsidR="00D406DC" w:rsidRDefault="00000000">
            <w:r>
              <w:rPr>
                <w:color w:val="000000"/>
                <w:sz w:val="17"/>
              </w:rPr>
              <w:t>Multiple Macs / one high-memory Studio</w:t>
            </w:r>
          </w:p>
        </w:tc>
        <w:tc>
          <w:tcPr>
            <w:tcW w:w="2628" w:type="dxa"/>
          </w:tcPr>
          <w:p w:rsidR="00D406DC" w:rsidRDefault="00000000">
            <w:r>
              <w:rPr>
                <w:color w:val="000000"/>
                <w:sz w:val="17"/>
              </w:rPr>
              <w:t>1 shared L40S/A100</w:t>
            </w:r>
          </w:p>
        </w:tc>
        <w:tc>
          <w:tcPr>
            <w:tcW w:w="2628" w:type="dxa"/>
          </w:tcPr>
          <w:p w:rsidR="00D406DC" w:rsidRDefault="00000000">
            <w:r>
              <w:rPr>
                <w:color w:val="000000"/>
                <w:sz w:val="17"/>
              </w:rPr>
              <w:t>NVIDIA easier as central service</w:t>
            </w:r>
          </w:p>
        </w:tc>
      </w:tr>
      <w:tr w:rsidR="00D406DC">
        <w:tc>
          <w:tcPr>
            <w:tcW w:w="2628" w:type="dxa"/>
          </w:tcPr>
          <w:p w:rsidR="00D406DC" w:rsidRDefault="00000000">
            <w:r>
              <w:rPr>
                <w:color w:val="000000"/>
                <w:sz w:val="17"/>
              </w:rPr>
              <w:t>High concurrency</w:t>
            </w:r>
          </w:p>
        </w:tc>
        <w:tc>
          <w:tcPr>
            <w:tcW w:w="2628" w:type="dxa"/>
          </w:tcPr>
          <w:p w:rsidR="00D406DC" w:rsidRDefault="00000000">
            <w:r>
              <w:rPr>
                <w:color w:val="000000"/>
                <w:sz w:val="17"/>
              </w:rPr>
              <w:t>Horizontal Mac nodes</w:t>
            </w:r>
          </w:p>
        </w:tc>
        <w:tc>
          <w:tcPr>
            <w:tcW w:w="2628" w:type="dxa"/>
          </w:tcPr>
          <w:p w:rsidR="00D406DC" w:rsidRDefault="00000000">
            <w:r>
              <w:rPr>
                <w:color w:val="000000"/>
                <w:sz w:val="17"/>
              </w:rPr>
              <w:t>GPU serving + batching/scheduling</w:t>
            </w:r>
          </w:p>
        </w:tc>
        <w:tc>
          <w:tcPr>
            <w:tcW w:w="2628" w:type="dxa"/>
          </w:tcPr>
          <w:p w:rsidR="00D406DC" w:rsidRDefault="00000000">
            <w:r>
              <w:rPr>
                <w:color w:val="000000"/>
                <w:sz w:val="17"/>
              </w:rPr>
              <w:t>NVIDIA better suited</w:t>
            </w:r>
          </w:p>
        </w:tc>
      </w:tr>
      <w:tr w:rsidR="00D406DC">
        <w:tc>
          <w:tcPr>
            <w:tcW w:w="2628" w:type="dxa"/>
          </w:tcPr>
          <w:p w:rsidR="00D406DC" w:rsidRDefault="00000000">
            <w:r>
              <w:rPr>
                <w:color w:val="000000"/>
                <w:sz w:val="17"/>
              </w:rPr>
              <w:t>Large models</w:t>
            </w:r>
          </w:p>
        </w:tc>
        <w:tc>
          <w:tcPr>
            <w:tcW w:w="2628" w:type="dxa"/>
          </w:tcPr>
          <w:p w:rsidR="00D406DC" w:rsidRDefault="00000000">
            <w:r>
              <w:rPr>
                <w:color w:val="000000"/>
                <w:sz w:val="17"/>
              </w:rPr>
              <w:t>High-memory Studio can fit very large models</w:t>
            </w:r>
          </w:p>
        </w:tc>
        <w:tc>
          <w:tcPr>
            <w:tcW w:w="2628" w:type="dxa"/>
          </w:tcPr>
          <w:p w:rsidR="00D406DC" w:rsidRDefault="00000000">
            <w:r>
              <w:rPr>
                <w:color w:val="000000"/>
                <w:sz w:val="17"/>
              </w:rPr>
              <w:t>80–192GB accelerators</w:t>
            </w:r>
          </w:p>
        </w:tc>
        <w:tc>
          <w:tcPr>
            <w:tcW w:w="2628" w:type="dxa"/>
          </w:tcPr>
          <w:p w:rsidR="00D406DC" w:rsidRDefault="00000000">
            <w:r>
              <w:rPr>
                <w:color w:val="000000"/>
                <w:sz w:val="17"/>
              </w:rPr>
              <w:t>Compare memory and throughput separately</w:t>
            </w:r>
          </w:p>
        </w:tc>
      </w:tr>
    </w:tbl>
    <w:p w:rsidR="00D406DC" w:rsidRDefault="00000000">
      <w:r>
        <w:rPr>
          <w:color w:val="000000"/>
        </w:rPr>
        <w:t>A cluster of 5–10 Mac minis is feasible as a pool of independent inference workers. A router can distribute requests across nodes. However, memory is not pooled into one giant GPU, so a single request/model still needs to fit on one node unless a specialized distributed approach is used.</w:t>
      </w:r>
    </w:p>
    <w:tbl>
      <w:tblPr>
        <w:tblStyle w:val="TableGrid"/>
      </w:tblPr>
      <w:tr>
        <w:tc>
          <w:tcPr>
            <w:shd w:fill="FFFFFF"/>
          </w:tcPr>
          <w:p>
            <w:r>
              <w:rPr>
                <w:color w:val="000000"/>
                <w:sz w:val="17"/>
                <w:b/>
              </w:rPr>
              <w:t>Requirement</w:t>
            </w:r>
          </w:p>
        </w:tc>
        <w:tc>
          <w:tcPr>
            <w:shd w:fill="FFFFFF"/>
          </w:tcPr>
          <w:p>
            <w:r>
              <w:rPr>
                <w:color w:val="000000"/>
                <w:sz w:val="17"/>
                <w:b/>
              </w:rPr>
              <w:t>Approach</w:t>
            </w:r>
          </w:p>
        </w:tc>
      </w:tr>
      <w:tr>
        <w:tc>
          <w:tcPr>
            <w:shd w:fill="FFFFFF"/>
          </w:tcPr>
          <w:p>
            <w:r>
              <w:rPr>
                <w:color w:val="000000"/>
                <w:sz w:val="17"/>
              </w:rPr>
              <w:t>Normal employee traffic</w:t>
            </w:r>
          </w:p>
        </w:tc>
        <w:tc>
          <w:tcPr>
            <w:shd w:fill="FFFFFF"/>
          </w:tcPr>
          <w:p>
            <w:r>
              <w:rPr>
                <w:color w:val="000000"/>
                <w:sz w:val="17"/>
              </w:rPr>
              <w:t>Independent workers + model router</w:t>
            </w:r>
          </w:p>
        </w:tc>
      </w:tr>
      <w:tr>
        <w:tc>
          <w:tcPr>
            <w:shd w:fill="FFFFFF"/>
          </w:tcPr>
          <w:p>
            <w:r>
              <w:rPr>
                <w:color w:val="000000"/>
                <w:sz w:val="17"/>
              </w:rPr>
              <w:t>Very large LLM</w:t>
            </w:r>
          </w:p>
        </w:tc>
        <w:tc>
          <w:tcPr>
            <w:shd w:fill="FFFFFF"/>
          </w:tcPr>
          <w:p>
            <w:r>
              <w:rPr>
                <w:color w:val="000000"/>
                <w:sz w:val="17"/>
              </w:rPr>
              <w:t>Dedicated homogeneous high-memory cluster</w:t>
            </w:r>
          </w:p>
        </w:tc>
      </w:tr>
      <w:tr>
        <w:tc>
          <w:tcPr>
            <w:shd w:fill="FFFFFF"/>
          </w:tcPr>
          <w:p>
            <w:r>
              <w:rPr>
                <w:color w:val="000000"/>
                <w:sz w:val="17"/>
              </w:rPr>
              <w:t>Future M6/M7</w:t>
            </w:r>
          </w:p>
        </w:tc>
        <w:tc>
          <w:tcPr>
            <w:shd w:fill="FFFFFF"/>
          </w:tcPr>
          <w:p>
            <w:r>
              <w:rPr>
                <w:color w:val="000000"/>
                <w:sz w:val="17"/>
              </w:rPr>
              <w:t>Add to the general pool or create a compatible distributed group</w:t>
            </w:r>
          </w:p>
        </w:tc>
      </w:tr>
      <w:tr>
        <w:tc>
          <w:tcPr>
            <w:shd w:fill="FFFFFF"/>
          </w:tcPr>
          <w:p>
            <w:r>
              <w:rPr>
                <w:color w:val="000000"/>
                <w:sz w:val="17"/>
              </w:rPr>
              <w:t>Overall</w:t>
            </w:r>
          </w:p>
        </w:tc>
        <w:tc>
          <w:tcPr>
            <w:shd w:fill="FFFFFF"/>
          </w:tcPr>
          <w:p>
            <w:r>
              <w:rPr>
                <w:color w:val="000000"/>
                <w:sz w:val="17"/>
              </w:rPr>
              <w:t>Separate horizontal scaling from distributed single-model execution</w:t>
            </w:r>
          </w:p>
        </w:tc>
      </w:tr>
    </w:tbl>
    <w:p>
      <w:pPr>
        <w:pStyle w:val="Heading2"/>
      </w:pPr>
      <w:r>
        <w:rPr>
          <w:color w:val="000000"/>
          <w:sz w:val="20"/>
          <w:b/>
        </w:rPr>
        <w:t>8.6 Recommendation</w:t>
      </w:r>
    </w:p>
    <w:p>
      <w:r>
        <w:rPr>
          <w:color w:val="000000"/>
          <w:sz w:val="18"/>
        </w:rPr>
        <w:t>If Model A fits on one Mac, run it independently on several Macs and load-balance requests. If Model B is too large for one Mac, place it across a dedicated group using Tensor Parallelism, Pipeline Parallelism or supported sharding.</w:t>
      </w:r>
    </w:p>
    <w:p>
      <w:pPr>
        <w:pStyle w:val="Heading2"/>
      </w:pPr>
      <w:r>
        <w:rPr>
          <w:color w:val="000000"/>
          <w:sz w:val="20"/>
          <w:b/>
        </w:rPr>
        <w:t>8.5 Practical Example</w:t>
      </w:r>
    </w:p>
    <w:tbl>
      <w:tblPr>
        <w:tblStyle w:val="TableGrid"/>
      </w:tblPr>
      <w:tr>
        <w:tc>
          <w:tcPr>
            <w:shd w:fill="FFFFFF"/>
          </w:tcPr>
          <w:p>
            <w:r>
              <w:rPr>
                <w:color w:val="000000"/>
                <w:sz w:val="17"/>
                <w:b/>
              </w:rPr>
              <w:t>Layer</w:t>
            </w:r>
          </w:p>
        </w:tc>
        <w:tc>
          <w:tcPr>
            <w:shd w:fill="FFFFFF"/>
          </w:tcPr>
          <w:p>
            <w:r>
              <w:rPr>
                <w:color w:val="000000"/>
                <w:sz w:val="17"/>
                <w:b/>
              </w:rPr>
              <w:t>Design</w:t>
            </w:r>
          </w:p>
        </w:tc>
      </w:tr>
      <w:tr>
        <w:tc>
          <w:tcPr>
            <w:shd w:fill="FFFFFF"/>
          </w:tcPr>
          <w:p>
            <w:r>
              <w:rPr>
                <w:color w:val="000000"/>
                <w:sz w:val="17"/>
              </w:rPr>
              <w:t>Users / Apps</w:t>
            </w:r>
          </w:p>
        </w:tc>
        <w:tc>
          <w:tcPr>
            <w:shd w:fill="FFFFFF"/>
          </w:tcPr>
          <w:p>
            <w:r>
              <w:rPr>
                <w:color w:val="000000"/>
                <w:sz w:val="17"/>
              </w:rPr>
              <w:t>One internal AI interface/API</w:t>
            </w:r>
          </w:p>
        </w:tc>
      </w:tr>
      <w:tr>
        <w:tc>
          <w:tcPr>
            <w:shd w:fill="FFFFFF"/>
          </w:tcPr>
          <w:p>
            <w:r>
              <w:rPr>
                <w:color w:val="000000"/>
                <w:sz w:val="17"/>
              </w:rPr>
              <w:t>Model Router</w:t>
            </w:r>
          </w:p>
        </w:tc>
        <w:tc>
          <w:tcPr>
            <w:shd w:fill="FFFFFF"/>
          </w:tcPr>
          <w:p>
            <w:r>
              <w:rPr>
                <w:color w:val="000000"/>
                <w:sz w:val="17"/>
              </w:rPr>
              <w:t>Chooses the model and correct execution pool</w:t>
            </w:r>
          </w:p>
        </w:tc>
      </w:tr>
      <w:tr>
        <w:tc>
          <w:tcPr>
            <w:shd w:fill="FFFFFF"/>
          </w:tcPr>
          <w:p>
            <w:r>
              <w:rPr>
                <w:color w:val="000000"/>
                <w:sz w:val="17"/>
              </w:rPr>
              <w:t>General Pool</w:t>
            </w:r>
          </w:p>
        </w:tc>
        <w:tc>
          <w:tcPr>
            <w:shd w:fill="FFFFFF"/>
          </w:tcPr>
          <w:p>
            <w:r>
              <w:rPr>
                <w:color w:val="000000"/>
                <w:sz w:val="17"/>
              </w:rPr>
              <w:t>Mixed M5/M6 Macs for normal LLM, RAG, agents and embeddings</w:t>
            </w:r>
          </w:p>
        </w:tc>
      </w:tr>
      <w:tr>
        <w:tc>
          <w:tcPr>
            <w:shd w:fill="FFFFFF"/>
          </w:tcPr>
          <w:p>
            <w:r>
              <w:rPr>
                <w:color w:val="000000"/>
                <w:sz w:val="17"/>
              </w:rPr>
              <w:t>Large-LLM Pool</w:t>
            </w:r>
          </w:p>
        </w:tc>
        <w:tc>
          <w:tcPr>
            <w:shd w:fill="FFFFFF"/>
          </w:tcPr>
          <w:p>
            <w:r>
              <w:rPr>
                <w:color w:val="000000"/>
                <w:sz w:val="17"/>
              </w:rPr>
              <w:t>Similar high-memory Macs running one distributed LLM</w:t>
            </w:r>
          </w:p>
        </w:tc>
      </w:tr>
      <w:tr>
        <w:tc>
          <w:tcPr>
            <w:shd w:fill="FFFFFF"/>
          </w:tcPr>
          <w:p>
            <w:r>
              <w:rPr>
                <w:color w:val="000000"/>
                <w:sz w:val="17"/>
              </w:rPr>
              <w:t>Monitoring</w:t>
            </w:r>
          </w:p>
        </w:tc>
        <w:tc>
          <w:tcPr>
            <w:shd w:fill="FFFFFF"/>
          </w:tcPr>
          <w:p>
            <w:r>
              <w:rPr>
                <w:color w:val="000000"/>
                <w:sz w:val="17"/>
              </w:rPr>
              <w:t>Tokens/sec, time-to-first-token, queue time, memory and utilization</w:t>
            </w:r>
          </w:p>
        </w:tc>
      </w:tr>
    </w:tbl>
    <w:p>
      <w:pPr>
        <w:pStyle w:val="Heading2"/>
      </w:pPr>
      <w:r>
        <w:rPr>
          <w:color w:val="000000"/>
          <w:sz w:val="20"/>
          <w:b/>
        </w:rPr>
        <w:t>8.4 Recommended Architecture</w:t>
      </w:r>
    </w:p>
    <w:tbl>
      <w:tblPr>
        <w:tblStyle w:val="TableGrid"/>
      </w:tblPr>
      <w:tr>
        <w:tc>
          <w:tcPr>
            <w:shd w:fill="FFFFFF"/>
          </w:tcPr>
          <w:p>
            <w:r>
              <w:rPr>
                <w:color w:val="000000"/>
                <w:sz w:val="17"/>
                <w:b/>
              </w:rPr>
              <w:t>Cluster</w:t>
            </w:r>
          </w:p>
        </w:tc>
        <w:tc>
          <w:tcPr>
            <w:shd w:fill="FFFFFF"/>
          </w:tcPr>
          <w:p>
            <w:r>
              <w:rPr>
                <w:color w:val="000000"/>
                <w:sz w:val="17"/>
                <w:b/>
              </w:rPr>
              <w:t>Example</w:t>
            </w:r>
          </w:p>
        </w:tc>
        <w:tc>
          <w:tcPr>
            <w:shd w:fill="FFFFFF"/>
          </w:tcPr>
          <w:p>
            <w:r>
              <w:rPr>
                <w:color w:val="000000"/>
                <w:sz w:val="17"/>
                <w:b/>
              </w:rPr>
              <w:t>Recommendation</w:t>
            </w:r>
          </w:p>
        </w:tc>
      </w:tr>
      <w:tr>
        <w:tc>
          <w:tcPr>
            <w:shd w:fill="FFFFFF"/>
          </w:tcPr>
          <w:p>
            <w:r>
              <w:rPr>
                <w:color w:val="000000"/>
                <w:sz w:val="17"/>
              </w:rPr>
              <w:t>Homogeneous</w:t>
            </w:r>
          </w:p>
        </w:tc>
        <w:tc>
          <w:tcPr>
            <w:shd w:fill="FFFFFF"/>
          </w:tcPr>
          <w:p>
            <w:r>
              <w:rPr>
                <w:color w:val="000000"/>
                <w:sz w:val="17"/>
              </w:rPr>
              <w:t>4 × same Mac / same memory</w:t>
            </w:r>
          </w:p>
        </w:tc>
        <w:tc>
          <w:tcPr>
            <w:shd w:fill="FFFFFF"/>
          </w:tcPr>
          <w:p>
            <w:r>
              <w:rPr>
                <w:color w:val="000000"/>
                <w:sz w:val="17"/>
              </w:rPr>
              <w:t>Preferred for one distributed LLM: predictable and easier to balance.</w:t>
            </w:r>
          </w:p>
        </w:tc>
      </w:tr>
      <w:tr>
        <w:tc>
          <w:tcPr>
            <w:shd w:fill="FFFFFF"/>
          </w:tcPr>
          <w:p>
            <w:r>
              <w:rPr>
                <w:color w:val="000000"/>
                <w:sz w:val="17"/>
              </w:rPr>
              <w:t>M5 + M6</w:t>
            </w:r>
          </w:p>
        </w:tc>
        <w:tc>
          <w:tcPr>
            <w:shd w:fill="FFFFFF"/>
          </w:tcPr>
          <w:p>
            <w:r>
              <w:rPr>
                <w:color w:val="000000"/>
                <w:sz w:val="17"/>
              </w:rPr>
              <w:t>Mixed generations</w:t>
            </w:r>
          </w:p>
        </w:tc>
        <w:tc>
          <w:tcPr>
            <w:shd w:fill="FFFFFF"/>
          </w:tcPr>
          <w:p>
            <w:r>
              <w:rPr>
                <w:color w:val="000000"/>
                <w:sz w:val="17"/>
              </w:rPr>
              <w:t>Can coexist; ideal for the general pool. Test before using together for one distributed LLM.</w:t>
            </w:r>
          </w:p>
        </w:tc>
      </w:tr>
      <w:tr>
        <w:tc>
          <w:tcPr>
            <w:shd w:fill="FFFFFF"/>
          </w:tcPr>
          <w:p>
            <w:r>
              <w:rPr>
                <w:color w:val="000000"/>
                <w:sz w:val="17"/>
              </w:rPr>
              <w:t>Base + high-memory</w:t>
            </w:r>
          </w:p>
        </w:tc>
        <w:tc>
          <w:tcPr>
            <w:shd w:fill="FFFFFF"/>
          </w:tcPr>
          <w:p>
            <w:r>
              <w:rPr>
                <w:color w:val="000000"/>
                <w:sz w:val="17"/>
              </w:rPr>
              <w:t>32 GB + 256 GB</w:t>
            </w:r>
          </w:p>
        </w:tc>
        <w:tc>
          <w:tcPr>
            <w:shd w:fill="FFFFFF"/>
          </w:tcPr>
          <w:p>
            <w:r>
              <w:rPr>
                <w:color w:val="000000"/>
                <w:sz w:val="17"/>
              </w:rPr>
              <w:t>Use routing or balanced pipeline stages; equal splitting can create a bottleneck.</w:t>
            </w:r>
          </w:p>
        </w:tc>
      </w:tr>
    </w:tbl>
    <w:p>
      <w:pPr>
        <w:pStyle w:val="Heading2"/>
      </w:pPr>
      <w:r>
        <w:rPr>
          <w:color w:val="000000"/>
          <w:sz w:val="20"/>
          <w:b/>
        </w:rPr>
        <w:t>8.3 Homogeneous vs Heterogeneous</w:t>
      </w:r>
    </w:p>
    <w:tbl>
      <w:tblPr>
        <w:tblStyle w:val="TableGrid"/>
      </w:tblPr>
      <w:tr>
        <w:tc>
          <w:tcPr>
            <w:shd w:fill="FFFFFF"/>
          </w:tcPr>
          <w:p>
            <w:r>
              <w:rPr>
                <w:color w:val="000000"/>
                <w:sz w:val="17"/>
                <w:b/>
              </w:rPr>
              <w:t>Technique</w:t>
            </w:r>
          </w:p>
        </w:tc>
        <w:tc>
          <w:tcPr>
            <w:shd w:fill="FFFFFF"/>
          </w:tcPr>
          <w:p>
            <w:r>
              <w:rPr>
                <w:color w:val="000000"/>
                <w:sz w:val="17"/>
                <w:b/>
              </w:rPr>
              <w:t>How it works</w:t>
            </w:r>
          </w:p>
        </w:tc>
        <w:tc>
          <w:tcPr>
            <w:shd w:fill="FFFFFF"/>
          </w:tcPr>
          <w:p>
            <w:r>
              <w:rPr>
                <w:color w:val="000000"/>
                <w:sz w:val="17"/>
                <w:b/>
              </w:rPr>
              <w:t>Best use</w:t>
            </w:r>
          </w:p>
        </w:tc>
      </w:tr>
      <w:tr>
        <w:tc>
          <w:tcPr>
            <w:shd w:fill="FFFFFF"/>
          </w:tcPr>
          <w:p>
            <w:r>
              <w:rPr>
                <w:color w:val="000000"/>
                <w:sz w:val="17"/>
              </w:rPr>
              <w:t>Tensor Parallelism (TP)</w:t>
            </w:r>
          </w:p>
        </w:tc>
        <w:tc>
          <w:tcPr>
            <w:shd w:fill="FFFFFF"/>
          </w:tcPr>
          <w:p>
            <w:r>
              <w:rPr>
                <w:color w:val="000000"/>
                <w:sz w:val="17"/>
              </w:rPr>
              <w:t>Splits computation within the same layer across Macs; communication is frequent.</w:t>
            </w:r>
          </w:p>
        </w:tc>
        <w:tc>
          <w:tcPr>
            <w:shd w:fill="FFFFFF"/>
          </w:tcPr>
          <w:p>
            <w:r>
              <w:rPr>
                <w:color w:val="000000"/>
                <w:sz w:val="17"/>
              </w:rPr>
              <w:t>Fast distributed inference on similar high-performance nodes.</w:t>
            </w:r>
          </w:p>
        </w:tc>
      </w:tr>
      <w:tr>
        <w:tc>
          <w:tcPr>
            <w:shd w:fill="FFFFFF"/>
          </w:tcPr>
          <w:p>
            <w:r>
              <w:rPr>
                <w:color w:val="000000"/>
                <w:sz w:val="17"/>
              </w:rPr>
              <w:t>Pipeline Parallelism (PP)</w:t>
            </w:r>
          </w:p>
        </w:tc>
        <w:tc>
          <w:tcPr>
            <w:shd w:fill="FFFFFF"/>
          </w:tcPr>
          <w:p>
            <w:r>
              <w:rPr>
                <w:color w:val="000000"/>
                <w:sz w:val="17"/>
              </w:rPr>
              <w:t>Splits model layers into stages; each Mac runs a different stage.</w:t>
            </w:r>
          </w:p>
        </w:tc>
        <w:tc>
          <w:tcPr>
            <w:shd w:fill="FFFFFF"/>
          </w:tcPr>
          <w:p>
            <w:r>
              <w:rPr>
                <w:color w:val="000000"/>
                <w:sz w:val="17"/>
              </w:rPr>
              <w:t>Large models that must be spread across machines.</w:t>
            </w:r>
          </w:p>
        </w:tc>
      </w:tr>
      <w:tr>
        <w:tc>
          <w:tcPr>
            <w:shd w:fill="FFFFFF"/>
          </w:tcPr>
          <w:p>
            <w:r>
              <w:rPr>
                <w:color w:val="000000"/>
                <w:sz w:val="17"/>
              </w:rPr>
              <w:t>Model sharding</w:t>
            </w:r>
          </w:p>
        </w:tc>
        <w:tc>
          <w:tcPr>
            <w:shd w:fill="FFFFFF"/>
          </w:tcPr>
          <w:p>
            <w:r>
              <w:rPr>
                <w:color w:val="000000"/>
                <w:sz w:val="17"/>
              </w:rPr>
              <w:t>Places different model weights/state on different nodes.</w:t>
            </w:r>
          </w:p>
        </w:tc>
        <w:tc>
          <w:tcPr>
            <w:shd w:fill="FFFFFF"/>
          </w:tcPr>
          <w:p>
            <w:r>
              <w:rPr>
                <w:color w:val="000000"/>
                <w:sz w:val="17"/>
              </w:rPr>
              <w:t>Models that cannot fit on one Mac.</w:t>
            </w:r>
          </w:p>
        </w:tc>
      </w:tr>
    </w:tbl>
    <w:p>
      <w:pPr>
        <w:pStyle w:val="Heading2"/>
      </w:pPr>
      <w:r>
        <w:rPr>
          <w:color w:val="000000"/>
          <w:sz w:val="20"/>
          <w:b/>
        </w:rPr>
        <w:t>8.2 Techniques</w:t>
      </w:r>
    </w:p>
    <w:tbl>
      <w:tblPr>
        <w:tblStyle w:val="TableGrid"/>
      </w:tblPr>
      <w:tr>
        <w:tc>
          <w:tcPr>
            <w:shd w:fill="FFFFFF"/>
          </w:tcPr>
          <w:p>
            <w:r>
              <w:rPr>
                <w:color w:val="000000"/>
                <w:sz w:val="17"/>
                <w:b/>
              </w:rPr>
              <w:t>Concept</w:t>
            </w:r>
          </w:p>
        </w:tc>
        <w:tc>
          <w:tcPr>
            <w:shd w:fill="FFFFFF"/>
          </w:tcPr>
          <w:p>
            <w:r>
              <w:rPr>
                <w:color w:val="000000"/>
                <w:sz w:val="17"/>
                <w:b/>
              </w:rPr>
              <w:t>Crisp explanation</w:t>
            </w:r>
          </w:p>
        </w:tc>
      </w:tr>
      <w:tr>
        <w:tc>
          <w:tcPr>
            <w:shd w:fill="FFFFFF"/>
          </w:tcPr>
          <w:p>
            <w:r>
              <w:rPr>
                <w:color w:val="000000"/>
                <w:sz w:val="17"/>
              </w:rPr>
              <w:t>Independent workers</w:t>
            </w:r>
          </w:p>
        </w:tc>
        <w:tc>
          <w:tcPr>
            <w:shd w:fill="FFFFFF"/>
          </w:tcPr>
          <w:p>
            <w:r>
              <w:rPr>
                <w:color w:val="000000"/>
                <w:sz w:val="17"/>
              </w:rPr>
              <w:t>Each Mac runs a complete model; a router distributes requests.</w:t>
            </w:r>
          </w:p>
        </w:tc>
      </w:tr>
      <w:tr>
        <w:tc>
          <w:tcPr>
            <w:shd w:fill="FFFFFF"/>
          </w:tcPr>
          <w:p>
            <w:r>
              <w:rPr>
                <w:color w:val="000000"/>
                <w:sz w:val="17"/>
              </w:rPr>
              <w:t>Distributed LLM</w:t>
            </w:r>
          </w:p>
        </w:tc>
        <w:tc>
          <w:tcPr>
            <w:shd w:fill="FFFFFF"/>
          </w:tcPr>
          <w:p>
            <w:r>
              <w:rPr>
                <w:color w:val="000000"/>
                <w:sz w:val="17"/>
              </w:rPr>
              <w:t>One model is split across Macs and they cooperate during inference.</w:t>
            </w:r>
          </w:p>
        </w:tc>
      </w:tr>
      <w:tr>
        <w:tc>
          <w:tcPr>
            <w:shd w:fill="FFFFFF"/>
          </w:tcPr>
          <w:p>
            <w:r>
              <w:rPr>
                <w:color w:val="000000"/>
                <w:sz w:val="17"/>
              </w:rPr>
              <w:t>Memory</w:t>
            </w:r>
          </w:p>
        </w:tc>
        <w:tc>
          <w:tcPr>
            <w:shd w:fill="FFFFFF"/>
          </w:tcPr>
          <w:p>
            <w:r>
              <w:rPr>
                <w:color w:val="000000"/>
                <w:sz w:val="17"/>
              </w:rPr>
              <w:t>4 × 64 GB = 256 GB physical memory across nodes, not one 256 GB Mac.</w:t>
            </w:r>
          </w:p>
        </w:tc>
      </w:tr>
      <w:tr>
        <w:tc>
          <w:tcPr>
            <w:shd w:fill="FFFFFF"/>
          </w:tcPr>
          <w:p>
            <w:r>
              <w:rPr>
                <w:color w:val="000000"/>
                <w:sz w:val="17"/>
              </w:rPr>
              <w:t>Best practice</w:t>
            </w:r>
          </w:p>
        </w:tc>
        <w:tc>
          <w:tcPr>
            <w:shd w:fill="FFFFFF"/>
          </w:tcPr>
          <w:p>
            <w:r>
              <w:rPr>
                <w:color w:val="000000"/>
                <w:sz w:val="17"/>
              </w:rPr>
              <w:t>Mixed hardware for the general pool; similar high-memory Macs for one large distributed LLM.</w:t>
            </w:r>
          </w:p>
        </w:tc>
      </w:tr>
    </w:tbl>
    <w:p>
      <w:pPr>
        <w:pStyle w:val="Heading2"/>
      </w:pPr>
      <w:r>
        <w:rPr>
          <w:color w:val="000000"/>
          <w:sz w:val="20"/>
          <w:b/>
        </w:rPr>
        <w:t>8.1 Core Concepts</w:t>
      </w:r>
    </w:p>
    <w:p>
      <w:r>
        <w:rPr>
          <w:color w:val="000000"/>
          <w:sz w:val="18"/>
        </w:rPr>
        <w:t>A Mac lab can use multiple machines either as independent workers or as a distributed cluster running one large LLM. The second approach lets a framework split the model across Macs; it does not turn them into one normal shared-memory computer.</w:t>
      </w:r>
    </w:p>
    <w:p>
      <w:pPr>
        <w:pStyle w:val="Heading1"/>
      </w:pPr>
      <w:r>
        <w:rPr>
          <w:color w:val="000000"/>
          <w:sz w:val="20"/>
          <w:b/>
        </w:rPr>
        <w:t>8. Distributed LLM Inference and Mac Clustering</w:t>
      </w:r>
    </w:p>
    <w:p w:rsidR="00D406DC" w:rsidRDefault="00000000">
      <w:pPr>
        <w:pStyle w:val="Heading1"/>
      </w:pPr>
      <w:r>
        <w:rPr>
          <w:rFonts w:ascii="Arial" w:hAnsi="Arial"/>
          <w:color w:val="000000"/>
          <w:sz w:val="18"/>
        </w:rPr>
        <w:t>9. Privacy / Data-Leakage</w:t>
      </w:r>
    </w:p>
    <w:p w:rsidR="00D406DC" w:rsidRDefault="00000000">
      <w:r>
        <w:rPr>
          <w:color w:val="000000"/>
        </w:rPr>
        <w:t>Both Apple and NVIDIA can support a fully on-premises, private AI lab. Hardware alone does not guarantee privacy.</w:t>
      </w:r>
    </w:p>
    <w:p w:rsidR="00D406DC" w:rsidRDefault="00000000">
      <w:r>
        <w:rPr>
          <w:b/>
          <w:color w:val="000000"/>
        </w:rPr>
        <w:t xml:space="preserve">Local inference: </w:t>
      </w:r>
      <w:r>
        <w:rPr>
          <w:color w:val="000000"/>
        </w:rPr>
        <w:t>Prompts, source code and outputs can remain inside the organization's network if external APIs/telemetry are controlled.</w:t>
      </w:r>
    </w:p>
    <w:p w:rsidR="00D406DC" w:rsidRDefault="00000000">
      <w:r>
        <w:rPr>
          <w:b/>
          <w:color w:val="000000"/>
        </w:rPr>
        <w:t xml:space="preserve">Access control: </w:t>
      </w:r>
      <w:r>
        <w:rPr>
          <w:color w:val="000000"/>
        </w:rPr>
        <w:t>Use authentication, authorization, encryption, network segmentation and audit logging.</w:t>
      </w:r>
    </w:p>
    <w:p w:rsidR="00D406DC" w:rsidRDefault="00000000">
      <w:r>
        <w:rPr>
          <w:b/>
          <w:color w:val="000000"/>
        </w:rPr>
        <w:t xml:space="preserve">Cloud bursting: </w:t>
      </w:r>
      <w:r>
        <w:rPr>
          <w:color w:val="000000"/>
        </w:rPr>
        <w:t>If overflow is sent to public cloud/API providers, sensitive data needs explicit policy controls before leaving the organization's environment.</w:t>
      </w:r>
    </w:p>
    <w:p w:rsidR="00D406DC" w:rsidRDefault="00000000">
      <w:r>
        <w:rPr>
          <w:b/>
          <w:color w:val="000000"/>
        </w:rPr>
        <w:t xml:space="preserve">Recommended design: </w:t>
      </w:r>
      <w:r>
        <w:rPr>
          <w:color w:val="000000"/>
        </w:rPr>
        <w:t>Private API gateway → authentication → model router → local inference nodes; external routing only through an approved policy path.</w:t>
      </w:r>
    </w:p>
    <w:p w:rsidR="00D406DC" w:rsidRDefault="00000000">
      <w:pPr>
        <w:pStyle w:val="Heading1"/>
      </w:pPr>
      <w:r>
        <w:rPr>
          <w:rFonts w:ascii="Arial" w:hAnsi="Arial"/>
          <w:color w:val="000000"/>
          <w:sz w:val="18"/>
        </w:rPr>
        <w:t>10. Maintenance Comparison</w:t>
      </w:r>
    </w:p>
    <w:tbl>
      <w:tblPr>
        <w:tblStyle w:val="TableGrid"/>
        <w:tblW w:w="0" w:type="auto"/>
        <w:tblLook w:val="04A0" w:firstRow="1" w:lastRow="0" w:firstColumn="1" w:lastColumn="0" w:noHBand="0" w:noVBand="1"/>
      </w:tblPr>
      <w:tblGrid>
        <w:gridCol w:w="2628"/>
        <w:gridCol w:w="2628"/>
        <w:gridCol w:w="2628"/>
        <w:gridCol w:w="2628"/>
      </w:tblGrid>
      <w:tr w:rsidR="00D406DC">
        <w:tc>
          <w:tcPr>
            <w:tcW w:w="2628" w:type="dxa"/>
          </w:tcPr>
          <w:p w:rsidR="00D406DC" w:rsidRDefault="00000000">
            <w:r>
              <w:rPr>
                <w:b/>
                <w:color w:val="000000"/>
                <w:sz w:val="17"/>
              </w:rPr>
              <w:t>Area</w:t>
            </w:r>
          </w:p>
        </w:tc>
        <w:tc>
          <w:tcPr>
            <w:tcW w:w="2628" w:type="dxa"/>
          </w:tcPr>
          <w:p w:rsidR="00D406DC" w:rsidRDefault="00000000">
            <w:r>
              <w:rPr>
                <w:b/>
                <w:color w:val="000000"/>
                <w:sz w:val="17"/>
              </w:rPr>
              <w:t>Apple</w:t>
            </w:r>
          </w:p>
        </w:tc>
        <w:tc>
          <w:tcPr>
            <w:tcW w:w="2628" w:type="dxa"/>
          </w:tcPr>
          <w:p w:rsidR="00D406DC" w:rsidRDefault="00000000">
            <w:r>
              <w:rPr>
                <w:b/>
                <w:color w:val="000000"/>
                <w:sz w:val="17"/>
              </w:rPr>
              <w:t>NVIDIA</w:t>
            </w:r>
          </w:p>
        </w:tc>
        <w:tc>
          <w:tcPr>
            <w:tcW w:w="2628" w:type="dxa"/>
          </w:tcPr>
          <w:p w:rsidR="00D406DC" w:rsidRDefault="00000000">
            <w:r>
              <w:rPr>
                <w:b/>
                <w:color w:val="000000"/>
                <w:sz w:val="17"/>
              </w:rPr>
              <w:t>Implication</w:t>
            </w:r>
          </w:p>
        </w:tc>
      </w:tr>
      <w:tr w:rsidR="00D406DC">
        <w:tc>
          <w:tcPr>
            <w:tcW w:w="2628" w:type="dxa"/>
          </w:tcPr>
          <w:p w:rsidR="00D406DC" w:rsidRDefault="00000000">
            <w:r>
              <w:rPr>
                <w:color w:val="000000"/>
                <w:sz w:val="17"/>
              </w:rPr>
              <w:t>Hardware</w:t>
            </w:r>
          </w:p>
        </w:tc>
        <w:tc>
          <w:tcPr>
            <w:tcW w:w="2628" w:type="dxa"/>
          </w:tcPr>
          <w:p w:rsidR="00D406DC" w:rsidRDefault="00000000">
            <w:r>
              <w:rPr>
                <w:color w:val="000000"/>
                <w:sz w:val="17"/>
              </w:rPr>
              <w:t>Low; integrated system</w:t>
            </w:r>
          </w:p>
        </w:tc>
        <w:tc>
          <w:tcPr>
            <w:tcW w:w="2628" w:type="dxa"/>
          </w:tcPr>
          <w:p w:rsidR="00D406DC" w:rsidRDefault="00000000">
            <w:r>
              <w:rPr>
                <w:color w:val="000000"/>
                <w:sz w:val="17"/>
              </w:rPr>
              <w:t>Higher; server/GPU/cooling/PSU</w:t>
            </w:r>
          </w:p>
        </w:tc>
        <w:tc>
          <w:tcPr>
            <w:tcW w:w="2628" w:type="dxa"/>
          </w:tcPr>
          <w:p w:rsidR="00D406DC" w:rsidRDefault="00000000">
            <w:r>
              <w:rPr>
                <w:color w:val="000000"/>
                <w:sz w:val="17"/>
              </w:rPr>
              <w:t>Apple simpler</w:t>
            </w:r>
          </w:p>
        </w:tc>
      </w:tr>
      <w:tr w:rsidR="00D406DC">
        <w:tc>
          <w:tcPr>
            <w:tcW w:w="2628" w:type="dxa"/>
          </w:tcPr>
          <w:p w:rsidR="00D406DC" w:rsidRDefault="00000000">
            <w:r>
              <w:rPr>
                <w:color w:val="000000"/>
                <w:sz w:val="17"/>
              </w:rPr>
              <w:t>Software</w:t>
            </w:r>
          </w:p>
        </w:tc>
        <w:tc>
          <w:tcPr>
            <w:tcW w:w="2628" w:type="dxa"/>
          </w:tcPr>
          <w:p w:rsidR="00D406DC" w:rsidRDefault="00000000">
            <w:r>
              <w:rPr>
                <w:color w:val="000000"/>
                <w:sz w:val="17"/>
              </w:rPr>
              <w:t>macOS + ML stack</w:t>
            </w:r>
          </w:p>
        </w:tc>
        <w:tc>
          <w:tcPr>
            <w:tcW w:w="2628" w:type="dxa"/>
          </w:tcPr>
          <w:p w:rsidR="00D406DC" w:rsidRDefault="00000000">
            <w:r>
              <w:rPr>
                <w:color w:val="000000"/>
                <w:sz w:val="17"/>
              </w:rPr>
              <w:t>Linux + drivers + CUDA/containers</w:t>
            </w:r>
          </w:p>
        </w:tc>
        <w:tc>
          <w:tcPr>
            <w:tcW w:w="2628" w:type="dxa"/>
          </w:tcPr>
          <w:p w:rsidR="00D406DC" w:rsidRDefault="00000000">
            <w:r>
              <w:rPr>
                <w:color w:val="000000"/>
                <w:sz w:val="17"/>
              </w:rPr>
              <w:t>NVIDIA needs more specialist skill</w:t>
            </w:r>
          </w:p>
        </w:tc>
      </w:tr>
      <w:tr w:rsidR="00D406DC">
        <w:tc>
          <w:tcPr>
            <w:tcW w:w="2628" w:type="dxa"/>
          </w:tcPr>
          <w:p w:rsidR="00D406DC" w:rsidRDefault="00000000">
            <w:r>
              <w:rPr>
                <w:color w:val="000000"/>
                <w:sz w:val="17"/>
              </w:rPr>
              <w:t>Scaling</w:t>
            </w:r>
          </w:p>
        </w:tc>
        <w:tc>
          <w:tcPr>
            <w:tcW w:w="2628" w:type="dxa"/>
          </w:tcPr>
          <w:p w:rsidR="00D406DC" w:rsidRDefault="00000000">
            <w:r>
              <w:rPr>
                <w:color w:val="000000"/>
                <w:sz w:val="17"/>
              </w:rPr>
              <w:t>Add another machine</w:t>
            </w:r>
          </w:p>
        </w:tc>
        <w:tc>
          <w:tcPr>
            <w:tcW w:w="2628" w:type="dxa"/>
          </w:tcPr>
          <w:p w:rsidR="00D406DC" w:rsidRDefault="00000000">
            <w:r>
              <w:rPr>
                <w:color w:val="000000"/>
                <w:sz w:val="17"/>
              </w:rPr>
              <w:t>Add GPUs/nodes</w:t>
            </w:r>
          </w:p>
        </w:tc>
        <w:tc>
          <w:tcPr>
            <w:tcW w:w="2628" w:type="dxa"/>
          </w:tcPr>
          <w:p w:rsidR="00D406DC" w:rsidRDefault="00000000">
            <w:r>
              <w:rPr>
                <w:color w:val="000000"/>
                <w:sz w:val="17"/>
              </w:rPr>
              <w:t>NVIDIA more infrastructure-native</w:t>
            </w:r>
          </w:p>
        </w:tc>
      </w:tr>
      <w:tr w:rsidR="00D406DC">
        <w:tc>
          <w:tcPr>
            <w:tcW w:w="2628" w:type="dxa"/>
          </w:tcPr>
          <w:p w:rsidR="00D406DC" w:rsidRDefault="00000000">
            <w:r>
              <w:rPr>
                <w:color w:val="000000"/>
                <w:sz w:val="17"/>
              </w:rPr>
              <w:t>Repair/upgrade</w:t>
            </w:r>
          </w:p>
        </w:tc>
        <w:tc>
          <w:tcPr>
            <w:tcW w:w="2628" w:type="dxa"/>
          </w:tcPr>
          <w:p w:rsidR="00D406DC" w:rsidRDefault="00000000">
            <w:r>
              <w:rPr>
                <w:color w:val="000000"/>
                <w:sz w:val="17"/>
              </w:rPr>
              <w:t>Limited component upgrade</w:t>
            </w:r>
          </w:p>
        </w:tc>
        <w:tc>
          <w:tcPr>
            <w:tcW w:w="2628" w:type="dxa"/>
          </w:tcPr>
          <w:p w:rsidR="00D406DC" w:rsidRDefault="00000000">
            <w:r>
              <w:rPr>
                <w:color w:val="000000"/>
                <w:sz w:val="17"/>
              </w:rPr>
              <w:t>More replaceable server components</w:t>
            </w:r>
          </w:p>
        </w:tc>
        <w:tc>
          <w:tcPr>
            <w:tcW w:w="2628" w:type="dxa"/>
          </w:tcPr>
          <w:p w:rsidR="00D406DC" w:rsidRDefault="00000000">
            <w:r>
              <w:rPr>
                <w:color w:val="000000"/>
                <w:sz w:val="17"/>
              </w:rPr>
              <w:t>NVIDIA better for long-lived infrastructure</w:t>
            </w:r>
          </w:p>
        </w:tc>
      </w:tr>
      <w:tr w:rsidR="00D406DC">
        <w:tc>
          <w:tcPr>
            <w:tcW w:w="2628" w:type="dxa"/>
          </w:tcPr>
          <w:p w:rsidR="00D406DC" w:rsidRDefault="00000000">
            <w:r>
              <w:rPr>
                <w:color w:val="000000"/>
                <w:sz w:val="17"/>
              </w:rPr>
              <w:t>Power/cooling</w:t>
            </w:r>
          </w:p>
        </w:tc>
        <w:tc>
          <w:tcPr>
            <w:tcW w:w="2628" w:type="dxa"/>
          </w:tcPr>
          <w:p w:rsidR="00D406DC" w:rsidRDefault="00000000">
            <w:r>
              <w:rPr>
                <w:color w:val="000000"/>
                <w:sz w:val="17"/>
              </w:rPr>
              <w:t>Lower system power</w:t>
            </w:r>
          </w:p>
        </w:tc>
        <w:tc>
          <w:tcPr>
            <w:tcW w:w="2628" w:type="dxa"/>
          </w:tcPr>
          <w:p w:rsidR="00D406DC" w:rsidRDefault="00000000">
            <w:r>
              <w:rPr>
                <w:color w:val="000000"/>
                <w:sz w:val="17"/>
              </w:rPr>
              <w:t>Higher</w:t>
            </w:r>
          </w:p>
        </w:tc>
        <w:tc>
          <w:tcPr>
            <w:tcW w:w="2628" w:type="dxa"/>
          </w:tcPr>
          <w:p w:rsidR="00D406DC" w:rsidRDefault="00000000">
            <w:r>
              <w:rPr>
                <w:color w:val="000000"/>
                <w:sz w:val="17"/>
              </w:rPr>
              <w:t>Apple can reduce operating overhead</w:t>
            </w:r>
          </w:p>
        </w:tc>
      </w:tr>
    </w:tbl>
    <w:p w:rsidR="00D406DC" w:rsidRDefault="00000000">
      <w:pPr>
        <w:pStyle w:val="Heading1"/>
      </w:pPr>
      <w:r>
        <w:rPr>
          <w:rFonts w:ascii="Arial" w:hAnsi="Arial"/>
          <w:color w:val="000000"/>
          <w:sz w:val="18"/>
        </w:rPr>
        <w:t>11. Scenario-Based Decision</w:t>
      </w:r>
    </w:p>
    <w:p w:rsidR="00D406DC" w:rsidRDefault="00000000">
      <w:r>
        <w:rPr>
          <w:b/>
          <w:color w:val="000000"/>
        </w:rPr>
        <w:t xml:space="preserve">Minimum initial budget: </w:t>
      </w:r>
      <w:r>
        <w:rPr>
          <w:color w:val="000000"/>
        </w:rPr>
        <w:t>High-memory Mac mini/Studio can be a strong pilot platform for private inference and development.</w:t>
      </w:r>
    </w:p>
    <w:p w:rsidR="00D406DC" w:rsidRDefault="00000000">
      <w:r>
        <w:rPr>
          <w:b/>
          <w:color w:val="000000"/>
        </w:rPr>
        <w:t xml:space="preserve">Central service for many researchers: </w:t>
      </w:r>
      <w:r>
        <w:rPr>
          <w:color w:val="000000"/>
        </w:rPr>
        <w:t>NVIDIA L40S is a logical starting point; measure utilization and queue time before adding GPUs.</w:t>
      </w:r>
    </w:p>
    <w:p w:rsidR="00D406DC" w:rsidRDefault="00000000">
      <w:r>
        <w:rPr>
          <w:b/>
          <w:color w:val="000000"/>
        </w:rPr>
        <w:lastRenderedPageBreak/>
        <w:t xml:space="preserve">Large context / future large models: </w:t>
      </w:r>
      <w:r>
        <w:rPr>
          <w:color w:val="000000"/>
        </w:rPr>
        <w:t>High-memory Mac Studio is attractive for model fitting; A100/H100/other high-memory accelerators should be compared for throughput.</w:t>
      </w:r>
    </w:p>
    <w:p w:rsidR="00D406DC" w:rsidRDefault="00000000">
      <w:r>
        <w:rPr>
          <w:b/>
          <w:color w:val="000000"/>
        </w:rPr>
        <w:t xml:space="preserve">Maximum privacy: </w:t>
      </w:r>
      <w:r>
        <w:rPr>
          <w:color w:val="000000"/>
        </w:rPr>
        <w:t>Either platform can meet the requirement when completely on-premises and securely configured.</w:t>
      </w:r>
    </w:p>
    <w:p w:rsidR="00D406DC" w:rsidRDefault="00000000">
      <w:r>
        <w:rPr>
          <w:b/>
          <w:color w:val="000000"/>
        </w:rPr>
        <w:t xml:space="preserve">5–10 small nodes: </w:t>
      </w:r>
      <w:r>
        <w:rPr>
          <w:color w:val="000000"/>
        </w:rPr>
        <w:t>Mac minis can scale horizontally for independent jobs, but a centralized NVIDIA server is generally simpler for one shared model.</w:t>
      </w:r>
    </w:p>
    <w:p w:rsidR="00D406DC" w:rsidRDefault="00000000">
      <w:pPr>
        <w:pStyle w:val="Heading1"/>
      </w:pPr>
      <w:r>
        <w:rPr>
          <w:rFonts w:ascii="Arial" w:hAnsi="Arial"/>
          <w:color w:val="000000"/>
          <w:sz w:val="18"/>
        </w:rPr>
        <w:t>12. Recommended Strategy for This AI Lab</w:t>
      </w:r>
    </w:p>
    <w:p w:rsidR="00D406DC" w:rsidRDefault="00000000">
      <w:r>
        <w:rPr>
          <w:color w:val="000000"/>
        </w:rPr>
        <w:t>If the defining requirement is shared AI infrastructure for researchers, private/on-prem inference and scalable serving, NVIDIA should be treated as the primary shared-serving architecture.</w:t>
      </w:r>
    </w:p>
    <w:p w:rsidR="00D406DC" w:rsidRDefault="00000000">
      <w:r>
        <w:rPr>
          <w:color w:val="000000"/>
        </w:rPr>
        <w:t>If the initial budget cannot support a proper NVIDIA server, a high-memory Mac mini/Studio can be used as a pilot to validate the API, model router, authentication, RAG and research workflows.</w:t>
      </w:r>
    </w:p>
    <w:p w:rsidR="00D406DC" w:rsidRDefault="00000000">
      <w:r>
        <w:rPr>
          <w:color w:val="000000"/>
        </w:rPr>
        <w:t>Procurement rule: benchmark real workloads before buying multiple nodes. Measure time-to-first-token, tokens/sec, concurrent requests, queue time, memory use, power draw and cost per useful request.</w:t>
      </w:r>
    </w:p>
    <w:p w:rsidR="00D406DC" w:rsidRDefault="00000000">
      <w:pPr>
        <w:pStyle w:val="Heading1"/>
      </w:pPr>
      <w:r>
        <w:rPr>
          <w:rFonts w:ascii="Arial" w:hAnsi="Arial"/>
          <w:color w:val="000000"/>
          <w:sz w:val="18"/>
        </w:rPr>
        <w:t>13. Evidence / Sources</w:t>
      </w:r>
    </w:p>
    <w:p w:rsidR="00D406DC" w:rsidRDefault="00000000">
      <w:r>
        <w:rPr>
          <w:color w:val="000000"/>
        </w:rPr>
        <w:t>Apple: Mac mini technical specifications; Mac Studio specifications and power-consumption data. NVIDIA: L40S and A100 official specifications. vLLM documentation: CUDA, ROCm and Apple Silicon/vLLM-Metal support.</w:t>
      </w:r>
    </w:p>
    <w:p w:rsidR="00D406DC" w:rsidRDefault="00000000">
      <w:r>
        <w:rPr>
          <w:color w:val="000000"/>
        </w:rPr>
        <w:t>Model assumptions are from the supplied AI Model &amp; Infrastructure Evaluation Report: Qwen3_6-35B-A3B estimated ~20–22GB and Gemma-4-26B-A4B-it-MXFP4 estimated ~15–17GB.</w:t>
      </w:r>
    </w:p>
    <w:p w:rsidR="00D406DC" w:rsidRDefault="00000000">
      <w:pPr>
        <w:pStyle w:val="Heading1"/>
      </w:pPr>
      <w:r>
        <w:rPr>
          <w:rFonts w:ascii="Arial" w:hAnsi="Arial"/>
          <w:color w:val="000000"/>
          <w:sz w:val="18"/>
        </w:rPr>
        <w:t>13. Initial Cost Analysis — ₹20 Lakh Maximum Budget</w:t>
      </w:r>
    </w:p>
    <w:p w:rsidR="00D406DC" w:rsidRDefault="00000000">
      <w:r>
        <w:rPr>
          <w:color w:val="000000"/>
        </w:rPr>
        <w:t>Budget ceiling: ₹20,00,000 for the initial hardware investment. Prices below are planning references, not quotations. NVIDIA server cost must include the GPU, CPU/RAM, SSD, chassis, PSU, cooling, networking, warranty and installation.</w:t>
      </w:r>
    </w:p>
    <w:p w:rsidR="00D406DC" w:rsidRDefault="00000000">
      <w:r>
        <w:rPr>
          <w:color w:val="000000"/>
        </w:rPr>
        <w:t>IndiaAI reference pricing currently lists A100 80GB cloud compute at ₹81–₹135.9/hour and L40S at ₹45–₹67.5/hour. These are cloud rates, not purchase prices, but are useful for benchmarking relative compute economics.</w:t>
      </w:r>
    </w:p>
    <w:p w:rsidR="00D406DC" w:rsidRDefault="00000000">
      <w:r>
        <w:rPr>
          <w:color w:val="000000"/>
        </w:rPr>
        <w:t>Apple India currently lists Mac mini M6 from ₹99,900, Mac mini M5 Pro from ₹2,09,900, Mac Studio M5 Max from ₹2,79,900 and Mac Studio M5 Ultra from ₹6,29,900. AI-capable high-memory configurations cost more than these starting prices.</w:t>
      </w:r>
    </w:p>
    <w:tbl>
      <w:tblPr>
        <w:tblStyle w:val="TableGrid"/>
        <w:tblW w:w="0" w:type="auto"/>
        <w:jc w:val="center"/>
        <w:tblLook w:val="04A0" w:firstRow="1" w:lastRow="0" w:firstColumn="1" w:lastColumn="0" w:noHBand="0" w:noVBand="1"/>
      </w:tblPr>
      <w:tblGrid>
        <w:gridCol w:w="2102"/>
        <w:gridCol w:w="2102"/>
        <w:gridCol w:w="2102"/>
        <w:gridCol w:w="2102"/>
        <w:gridCol w:w="2102"/>
      </w:tblGrid>
      <w:tr w:rsidR="00D406DC">
        <w:trPr>
          <w:jc w:val="center"/>
        </w:trPr>
        <w:tc>
          <w:tcPr>
            <w:tcW w:w="2102" w:type="dxa"/>
          </w:tcPr>
          <w:p w:rsidR="00D406DC" w:rsidRDefault="00000000">
            <w:r>
              <w:rPr>
                <w:b/>
                <w:color w:val="000000"/>
                <w:sz w:val="17"/>
              </w:rPr>
              <w:t>Option</w:t>
            </w:r>
          </w:p>
        </w:tc>
        <w:tc>
          <w:tcPr>
            <w:tcW w:w="2102" w:type="dxa"/>
          </w:tcPr>
          <w:p w:rsidR="00D406DC" w:rsidRDefault="00000000">
            <w:r>
              <w:rPr>
                <w:b/>
                <w:color w:val="000000"/>
                <w:sz w:val="17"/>
              </w:rPr>
              <w:t>Starting/reference price</w:t>
            </w:r>
          </w:p>
        </w:tc>
        <w:tc>
          <w:tcPr>
            <w:tcW w:w="2102" w:type="dxa"/>
          </w:tcPr>
          <w:p w:rsidR="00D406DC" w:rsidRDefault="00000000">
            <w:r>
              <w:rPr>
                <w:b/>
                <w:color w:val="000000"/>
                <w:sz w:val="17"/>
              </w:rPr>
              <w:t>Approx. units within ₹20L*</w:t>
            </w:r>
          </w:p>
        </w:tc>
        <w:tc>
          <w:tcPr>
            <w:tcW w:w="2102" w:type="dxa"/>
          </w:tcPr>
          <w:p w:rsidR="00D406DC" w:rsidRDefault="00000000">
            <w:r>
              <w:rPr>
                <w:b/>
                <w:color w:val="000000"/>
                <w:sz w:val="17"/>
              </w:rPr>
              <w:t>Model fit</w:t>
            </w:r>
          </w:p>
        </w:tc>
        <w:tc>
          <w:tcPr>
            <w:tcW w:w="2102" w:type="dxa"/>
          </w:tcPr>
          <w:p w:rsidR="00D406DC" w:rsidRDefault="00000000">
            <w:r>
              <w:rPr>
                <w:b/>
                <w:color w:val="000000"/>
                <w:sz w:val="17"/>
              </w:rPr>
              <w:t>Main consideration</w:t>
            </w:r>
          </w:p>
        </w:tc>
      </w:tr>
      <w:tr w:rsidR="00D406DC">
        <w:trPr>
          <w:jc w:val="center"/>
        </w:trPr>
        <w:tc>
          <w:tcPr>
            <w:tcW w:w="2102" w:type="dxa"/>
          </w:tcPr>
          <w:p w:rsidR="00D406DC" w:rsidRDefault="00000000">
            <w:r>
              <w:rPr>
                <w:color w:val="000000"/>
                <w:sz w:val="17"/>
              </w:rPr>
              <w:t>Mac mini M6</w:t>
            </w:r>
          </w:p>
        </w:tc>
        <w:tc>
          <w:tcPr>
            <w:tcW w:w="2102" w:type="dxa"/>
          </w:tcPr>
          <w:p w:rsidR="00D406DC" w:rsidRDefault="00000000">
            <w:r>
              <w:rPr>
                <w:color w:val="000000"/>
                <w:sz w:val="17"/>
              </w:rPr>
              <w:t>₹99,900</w:t>
            </w:r>
          </w:p>
        </w:tc>
        <w:tc>
          <w:tcPr>
            <w:tcW w:w="2102" w:type="dxa"/>
          </w:tcPr>
          <w:p w:rsidR="00D406DC" w:rsidRDefault="00000000">
            <w:r>
              <w:rPr>
                <w:color w:val="000000"/>
                <w:sz w:val="17"/>
              </w:rPr>
              <w:t>~20</w:t>
            </w:r>
          </w:p>
        </w:tc>
        <w:tc>
          <w:tcPr>
            <w:tcW w:w="2102" w:type="dxa"/>
          </w:tcPr>
          <w:p w:rsidR="00D406DC" w:rsidRDefault="00000000">
            <w:r>
              <w:rPr>
                <w:color w:val="000000"/>
                <w:sz w:val="17"/>
              </w:rPr>
              <w:t>Memory configuration critical</w:t>
            </w:r>
          </w:p>
        </w:tc>
        <w:tc>
          <w:tcPr>
            <w:tcW w:w="2102" w:type="dxa"/>
          </w:tcPr>
          <w:p w:rsidR="00D406DC" w:rsidRDefault="00000000">
            <w:r>
              <w:rPr>
                <w:color w:val="000000"/>
                <w:sz w:val="17"/>
              </w:rPr>
              <w:t>Very low entry cost; base configuration is not the target 35B server</w:t>
            </w:r>
          </w:p>
        </w:tc>
      </w:tr>
      <w:tr w:rsidR="00D406DC">
        <w:trPr>
          <w:jc w:val="center"/>
        </w:trPr>
        <w:tc>
          <w:tcPr>
            <w:tcW w:w="2102" w:type="dxa"/>
          </w:tcPr>
          <w:p w:rsidR="00D406DC" w:rsidRDefault="00000000">
            <w:r>
              <w:rPr>
                <w:color w:val="000000"/>
                <w:sz w:val="17"/>
              </w:rPr>
              <w:t>Mac mini M5 Pro</w:t>
            </w:r>
          </w:p>
        </w:tc>
        <w:tc>
          <w:tcPr>
            <w:tcW w:w="2102" w:type="dxa"/>
          </w:tcPr>
          <w:p w:rsidR="00D406DC" w:rsidRDefault="00000000">
            <w:r>
              <w:rPr>
                <w:color w:val="000000"/>
                <w:sz w:val="17"/>
              </w:rPr>
              <w:t>₹2,09,900</w:t>
            </w:r>
          </w:p>
        </w:tc>
        <w:tc>
          <w:tcPr>
            <w:tcW w:w="2102" w:type="dxa"/>
          </w:tcPr>
          <w:p w:rsidR="00D406DC" w:rsidRDefault="00000000">
            <w:r>
              <w:rPr>
                <w:color w:val="000000"/>
                <w:sz w:val="17"/>
              </w:rPr>
              <w:t>~9</w:t>
            </w:r>
          </w:p>
        </w:tc>
        <w:tc>
          <w:tcPr>
            <w:tcW w:w="2102" w:type="dxa"/>
          </w:tcPr>
          <w:p w:rsidR="00D406DC" w:rsidRDefault="00000000">
            <w:r>
              <w:rPr>
                <w:color w:val="000000"/>
                <w:sz w:val="17"/>
              </w:rPr>
              <w:t>Configuration-dependent</w:t>
            </w:r>
          </w:p>
        </w:tc>
        <w:tc>
          <w:tcPr>
            <w:tcW w:w="2102" w:type="dxa"/>
          </w:tcPr>
          <w:p w:rsidR="00D406DC" w:rsidRDefault="00000000">
            <w:r>
              <w:rPr>
                <w:color w:val="000000"/>
                <w:sz w:val="17"/>
              </w:rPr>
              <w:t>Interesting independent-node cluster</w:t>
            </w:r>
          </w:p>
        </w:tc>
      </w:tr>
      <w:tr w:rsidR="00D406DC">
        <w:trPr>
          <w:jc w:val="center"/>
        </w:trPr>
        <w:tc>
          <w:tcPr>
            <w:tcW w:w="2102" w:type="dxa"/>
          </w:tcPr>
          <w:p w:rsidR="00D406DC" w:rsidRDefault="00000000">
            <w:r>
              <w:rPr>
                <w:color w:val="000000"/>
                <w:sz w:val="17"/>
              </w:rPr>
              <w:t>Mac Studio M5 Max</w:t>
            </w:r>
          </w:p>
        </w:tc>
        <w:tc>
          <w:tcPr>
            <w:tcW w:w="2102" w:type="dxa"/>
          </w:tcPr>
          <w:p w:rsidR="00D406DC" w:rsidRDefault="00000000">
            <w:r>
              <w:rPr>
                <w:color w:val="000000"/>
                <w:sz w:val="17"/>
              </w:rPr>
              <w:t>₹2,79,900</w:t>
            </w:r>
          </w:p>
        </w:tc>
        <w:tc>
          <w:tcPr>
            <w:tcW w:w="2102" w:type="dxa"/>
          </w:tcPr>
          <w:p w:rsidR="00D406DC" w:rsidRDefault="00000000">
            <w:r>
              <w:rPr>
                <w:color w:val="000000"/>
                <w:sz w:val="17"/>
              </w:rPr>
              <w:t>~7</w:t>
            </w:r>
          </w:p>
        </w:tc>
        <w:tc>
          <w:tcPr>
            <w:tcW w:w="2102" w:type="dxa"/>
          </w:tcPr>
          <w:p w:rsidR="00D406DC" w:rsidRDefault="00000000">
            <w:r>
              <w:rPr>
                <w:color w:val="000000"/>
                <w:sz w:val="17"/>
              </w:rPr>
              <w:t>High-memory config preferred</w:t>
            </w:r>
          </w:p>
        </w:tc>
        <w:tc>
          <w:tcPr>
            <w:tcW w:w="2102" w:type="dxa"/>
          </w:tcPr>
          <w:p w:rsidR="00D406DC" w:rsidRDefault="00000000">
            <w:r>
              <w:rPr>
                <w:color w:val="000000"/>
                <w:sz w:val="17"/>
              </w:rPr>
              <w:t>Better single-node Apple platform</w:t>
            </w:r>
          </w:p>
        </w:tc>
      </w:tr>
      <w:tr w:rsidR="00D406DC">
        <w:trPr>
          <w:jc w:val="center"/>
        </w:trPr>
        <w:tc>
          <w:tcPr>
            <w:tcW w:w="2102" w:type="dxa"/>
          </w:tcPr>
          <w:p w:rsidR="00D406DC" w:rsidRDefault="00000000">
            <w:r>
              <w:rPr>
                <w:color w:val="000000"/>
                <w:sz w:val="17"/>
              </w:rPr>
              <w:t>Mac Studio M5 Ultra</w:t>
            </w:r>
          </w:p>
        </w:tc>
        <w:tc>
          <w:tcPr>
            <w:tcW w:w="2102" w:type="dxa"/>
          </w:tcPr>
          <w:p w:rsidR="00D406DC" w:rsidRDefault="00000000">
            <w:r>
              <w:rPr>
                <w:color w:val="000000"/>
                <w:sz w:val="17"/>
              </w:rPr>
              <w:t>₹6,29,900</w:t>
            </w:r>
          </w:p>
        </w:tc>
        <w:tc>
          <w:tcPr>
            <w:tcW w:w="2102" w:type="dxa"/>
          </w:tcPr>
          <w:p w:rsidR="00D406DC" w:rsidRDefault="00000000">
            <w:r>
              <w:rPr>
                <w:color w:val="000000"/>
                <w:sz w:val="17"/>
              </w:rPr>
              <w:t>~3</w:t>
            </w:r>
          </w:p>
        </w:tc>
        <w:tc>
          <w:tcPr>
            <w:tcW w:w="2102" w:type="dxa"/>
          </w:tcPr>
          <w:p w:rsidR="00D406DC" w:rsidRDefault="00000000">
            <w:r>
              <w:rPr>
                <w:color w:val="000000"/>
                <w:sz w:val="17"/>
              </w:rPr>
              <w:t>High-memory capable</w:t>
            </w:r>
          </w:p>
        </w:tc>
        <w:tc>
          <w:tcPr>
            <w:tcW w:w="2102" w:type="dxa"/>
          </w:tcPr>
          <w:p w:rsidR="00D406DC" w:rsidRDefault="00000000">
            <w:r>
              <w:rPr>
                <w:color w:val="000000"/>
                <w:sz w:val="17"/>
              </w:rPr>
              <w:t>Large memory but fewer nodes</w:t>
            </w:r>
          </w:p>
        </w:tc>
      </w:tr>
      <w:tr w:rsidR="00D406DC">
        <w:trPr>
          <w:jc w:val="center"/>
        </w:trPr>
        <w:tc>
          <w:tcPr>
            <w:tcW w:w="2102" w:type="dxa"/>
          </w:tcPr>
          <w:p w:rsidR="00D406DC" w:rsidRDefault="00000000">
            <w:r>
              <w:rPr>
                <w:color w:val="000000"/>
                <w:sz w:val="17"/>
              </w:rPr>
              <w:t>A100 80GB server</w:t>
            </w:r>
          </w:p>
        </w:tc>
        <w:tc>
          <w:tcPr>
            <w:tcW w:w="2102" w:type="dxa"/>
          </w:tcPr>
          <w:p w:rsidR="00D406DC" w:rsidRPr="00B63041" w:rsidRDefault="00B63041">
            <w:pPr>
              <w:rPr>
                <w:sz w:val="14"/>
                <w:szCs w:val="14"/>
              </w:rPr>
            </w:pPr>
            <w:r w:rsidRPr="00B63041">
              <w:rPr>
                <w:color w:val="000000"/>
                <w:sz w:val="17"/>
                <w:szCs w:val="14"/>
              </w:rPr>
              <w:t>₹10–20 lakh</w:t>
            </w:r>
          </w:p>
        </w:tc>
        <w:tc>
          <w:tcPr>
            <w:tcW w:w="2102" w:type="dxa"/>
          </w:tcPr>
          <w:p w:rsidR="00D406DC" w:rsidRDefault="00000000">
            <w:r>
              <w:rPr>
                <w:color w:val="000000"/>
                <w:sz w:val="17"/>
              </w:rPr>
              <w:t>Depends on full BOM</w:t>
            </w:r>
          </w:p>
        </w:tc>
        <w:tc>
          <w:tcPr>
            <w:tcW w:w="2102" w:type="dxa"/>
          </w:tcPr>
          <w:p w:rsidR="00D406DC" w:rsidRDefault="00000000">
            <w:r>
              <w:rPr>
                <w:color w:val="000000"/>
                <w:sz w:val="17"/>
              </w:rPr>
              <w:t>Excellent</w:t>
            </w:r>
          </w:p>
        </w:tc>
        <w:tc>
          <w:tcPr>
            <w:tcW w:w="2102" w:type="dxa"/>
          </w:tcPr>
          <w:p w:rsidR="00D406DC" w:rsidRDefault="00000000">
            <w:r>
              <w:rPr>
                <w:color w:val="000000"/>
                <w:sz w:val="17"/>
              </w:rPr>
              <w:t>GPU price alone is not the system price</w:t>
            </w:r>
          </w:p>
        </w:tc>
      </w:tr>
    </w:tbl>
    <w:p w:rsidR="00D406DC" w:rsidRDefault="00000000">
      <w:r>
        <w:rPr>
          <w:color w:val="000000"/>
        </w:rPr>
        <w:t>*Starting-price arithmetic only. Actual memory/storage configurations and accessories can materially change totals.</w:t>
      </w:r>
    </w:p>
    <w:p w:rsidR="00D406DC" w:rsidRDefault="00000000">
      <w:pPr>
        <w:pStyle w:val="Heading1"/>
      </w:pPr>
      <w:r>
        <w:rPr>
          <w:rFonts w:ascii="Arial" w:hAnsi="Arial"/>
          <w:color w:val="000000"/>
          <w:sz w:val="18"/>
        </w:rPr>
        <w:t>14. Practical ₹20L Scenarios</w:t>
      </w:r>
    </w:p>
    <w:p w:rsidR="00D406DC" w:rsidRDefault="00000000">
      <w:r>
        <w:rPr>
          <w:b/>
          <w:color w:val="000000"/>
        </w:rPr>
        <w:t xml:space="preserve">Apple pilot: </w:t>
      </w:r>
      <w:r>
        <w:rPr>
          <w:color w:val="000000"/>
        </w:rPr>
        <w:t>1–2 high-memory Mac Studio systems provide a simple, private, low-power pilot.</w:t>
      </w:r>
    </w:p>
    <w:p w:rsidR="00D406DC" w:rsidRDefault="00000000">
      <w:r>
        <w:rPr>
          <w:b/>
          <w:color w:val="000000"/>
        </w:rPr>
        <w:t xml:space="preserve">Mac mini cluster: </w:t>
      </w:r>
      <w:r>
        <w:rPr>
          <w:color w:val="000000"/>
        </w:rPr>
        <w:t>5–8 suitably configured nodes may fit within the capital ceiling, depending on memory/storage. Each is an independent inference worker; memory is not pooled.</w:t>
      </w:r>
    </w:p>
    <w:p w:rsidR="00D406DC" w:rsidRDefault="00000000">
      <w:r>
        <w:rPr>
          <w:b/>
          <w:color w:val="000000"/>
        </w:rPr>
        <w:t xml:space="preserve">NVIDIA A100 route: </w:t>
      </w:r>
      <w:r>
        <w:rPr>
          <w:color w:val="000000"/>
        </w:rPr>
        <w:t>Get a complete A100 80GB server quotation. A100 is a strong fit for Qwen 35B, but the complete server must remain under ₹20L.</w:t>
      </w:r>
    </w:p>
    <w:p w:rsidR="00D406DC" w:rsidRDefault="00000000">
      <w:r>
        <w:rPr>
          <w:b/>
          <w:color w:val="000000"/>
        </w:rPr>
        <w:t xml:space="preserve">Hybrid/phased: </w:t>
      </w:r>
      <w:r>
        <w:rPr>
          <w:color w:val="000000"/>
        </w:rPr>
        <w:t>Use a smaller local Apple pilot and rent A100/L40S compute for heavy workloads while measuring demand. Sensitive data must not be sent externally without approved controls.</w:t>
      </w:r>
    </w:p>
    <w:p w:rsidR="00D406DC" w:rsidRDefault="00000000">
      <w:r>
        <w:rPr>
          <w:b/>
          <w:color w:val="000000"/>
        </w:rPr>
        <w:lastRenderedPageBreak/>
        <w:t xml:space="preserve">Scale after measurement: </w:t>
      </w:r>
      <w:r>
        <w:rPr>
          <w:color w:val="000000"/>
        </w:rPr>
        <w:t>Do not spend the full budget immediately. Expand only when utilization, queue time or concurrency data justifies it.</w:t>
      </w:r>
    </w:p>
    <w:p w:rsidR="00D406DC" w:rsidRDefault="00000000">
      <w:pPr>
        <w:pStyle w:val="Heading1"/>
      </w:pPr>
      <w:r>
        <w:rPr>
          <w:rFonts w:ascii="Arial" w:hAnsi="Arial"/>
          <w:color w:val="000000"/>
          <w:sz w:val="18"/>
        </w:rPr>
        <w:t>16. A100 80GB — Position in the Shortlist</w:t>
      </w:r>
    </w:p>
    <w:p w:rsidR="00D406DC" w:rsidRDefault="00000000">
      <w:r>
        <w:rPr>
          <w:b/>
          <w:color w:val="000000"/>
        </w:rPr>
        <w:t xml:space="preserve">Memory: </w:t>
      </w:r>
      <w:r>
        <w:rPr>
          <w:color w:val="000000"/>
        </w:rPr>
        <w:t>80GB HBM2e gives substantial headroom over the report's ~20–22GB Qwen 35B footprint.</w:t>
      </w:r>
    </w:p>
    <w:p w:rsidR="00D406DC" w:rsidRDefault="00000000">
      <w:r>
        <w:rPr>
          <w:b/>
          <w:color w:val="000000"/>
        </w:rPr>
        <w:t xml:space="preserve">Bandwidth: </w:t>
      </w:r>
      <w:r>
        <w:rPr>
          <w:color w:val="000000"/>
        </w:rPr>
        <w:t>Approximately 1.94–2.04TB/s depending on form factor.</w:t>
      </w:r>
    </w:p>
    <w:p w:rsidR="00D406DC" w:rsidRDefault="00000000">
      <w:r>
        <w:rPr>
          <w:b/>
          <w:color w:val="000000"/>
        </w:rPr>
        <w:t xml:space="preserve">Multi-user: </w:t>
      </w:r>
      <w:r>
        <w:rPr>
          <w:color w:val="000000"/>
        </w:rPr>
        <w:t>A100 supports MIG, enabling partitioning for multiple workloads.</w:t>
      </w:r>
    </w:p>
    <w:p w:rsidR="00D406DC" w:rsidRDefault="00000000">
      <w:r>
        <w:rPr>
          <w:b/>
          <w:color w:val="000000"/>
        </w:rPr>
        <w:t xml:space="preserve">Trade-off: </w:t>
      </w:r>
      <w:r>
        <w:rPr>
          <w:color w:val="000000"/>
        </w:rPr>
        <w:t>Older than H100/Blackwell and requires a proper server platform; total system cost is therefore critical.</w:t>
      </w:r>
    </w:p>
    <w:p w:rsidR="00D406DC" w:rsidRDefault="00000000">
      <w:r>
        <w:rPr>
          <w:b/>
          <w:color w:val="000000"/>
        </w:rPr>
        <w:t xml:space="preserve">Best role: </w:t>
      </w:r>
      <w:r>
        <w:rPr>
          <w:color w:val="000000"/>
        </w:rPr>
        <w:t>Central shared inference/research server when memory headroom and predictable multi-user serving are priorities.</w:t>
      </w:r>
    </w:p>
    <w:p w:rsidR="00D406DC" w:rsidRDefault="00000000">
      <w:pPr>
        <w:pStyle w:val="Heading1"/>
      </w:pPr>
      <w:r>
        <w:rPr>
          <w:rFonts w:ascii="Arial" w:hAnsi="Arial"/>
          <w:color w:val="000000"/>
          <w:sz w:val="18"/>
        </w:rPr>
        <w:t>17. Budget Decision Matrix</w:t>
      </w:r>
    </w:p>
    <w:tbl>
      <w:tblPr>
        <w:tblStyle w:val="TableGrid"/>
        <w:tblW w:w="0" w:type="auto"/>
        <w:tblLook w:val="04A0" w:firstRow="1" w:lastRow="0" w:firstColumn="1" w:lastColumn="0" w:noHBand="0" w:noVBand="1"/>
      </w:tblPr>
      <w:tblGrid>
        <w:gridCol w:w="2102"/>
        <w:gridCol w:w="2102"/>
        <w:gridCol w:w="2102"/>
        <w:gridCol w:w="2102"/>
        <w:gridCol w:w="2102"/>
      </w:tblGrid>
      <w:tr w:rsidR="00D406DC">
        <w:tc>
          <w:tcPr>
            <w:tcW w:w="2102" w:type="dxa"/>
            <w:vAlign w:val="center"/>
          </w:tcPr>
          <w:p w:rsidR="00D406DC" w:rsidRDefault="00000000">
            <w:pPr>
              <w:spacing w:before="0" w:after="0"/>
            </w:pPr>
            <w:r>
              <w:rPr>
                <w:b/>
                <w:color w:val="000000"/>
                <w:sz w:val="17"/>
              </w:rPr>
              <w:t>Scenario</w:t>
            </w:r>
          </w:p>
        </w:tc>
        <w:tc>
          <w:tcPr>
            <w:tcW w:w="2102" w:type="dxa"/>
            <w:vAlign w:val="center"/>
          </w:tcPr>
          <w:p w:rsidR="00D406DC" w:rsidRDefault="00000000">
            <w:pPr>
              <w:spacing w:before="0" w:after="0"/>
            </w:pPr>
            <w:r>
              <w:rPr>
                <w:b/>
                <w:color w:val="000000"/>
                <w:sz w:val="17"/>
              </w:rPr>
              <w:t>Apple option</w:t>
            </w:r>
          </w:p>
        </w:tc>
        <w:tc>
          <w:tcPr>
            <w:tcW w:w="2102" w:type="dxa"/>
            <w:vAlign w:val="center"/>
          </w:tcPr>
          <w:p w:rsidR="00D406DC" w:rsidRDefault="00000000">
            <w:pPr>
              <w:spacing w:before="0" w:after="0"/>
            </w:pPr>
            <w:r>
              <w:rPr>
                <w:b/>
                <w:color w:val="000000"/>
                <w:sz w:val="17"/>
              </w:rPr>
              <w:t>NVIDIA option</w:t>
            </w:r>
          </w:p>
        </w:tc>
        <w:tc>
          <w:tcPr>
            <w:tcW w:w="2102" w:type="dxa"/>
            <w:vAlign w:val="center"/>
          </w:tcPr>
          <w:p w:rsidR="00D406DC" w:rsidRDefault="00000000">
            <w:pPr>
              <w:spacing w:before="0" w:after="0"/>
            </w:pPr>
            <w:r>
              <w:rPr>
                <w:b/>
                <w:color w:val="000000"/>
                <w:sz w:val="17"/>
              </w:rPr>
              <w:t>₹20L fit</w:t>
            </w:r>
          </w:p>
        </w:tc>
        <w:tc>
          <w:tcPr>
            <w:tcW w:w="2102" w:type="dxa"/>
            <w:vAlign w:val="center"/>
          </w:tcPr>
          <w:p w:rsidR="00D406DC" w:rsidRDefault="00000000">
            <w:pPr>
              <w:spacing w:before="0" w:after="0"/>
            </w:pPr>
            <w:r>
              <w:rPr>
                <w:b/>
                <w:color w:val="000000"/>
                <w:sz w:val="17"/>
              </w:rPr>
              <w:t>Trade-off</w:t>
            </w:r>
          </w:p>
        </w:tc>
      </w:tr>
      <w:tr w:rsidR="00D406DC">
        <w:tc>
          <w:tcPr>
            <w:tcW w:w="2102" w:type="dxa"/>
            <w:vAlign w:val="center"/>
          </w:tcPr>
          <w:p w:rsidR="00D406DC" w:rsidRDefault="00000000">
            <w:pPr>
              <w:spacing w:before="0" w:after="0"/>
            </w:pPr>
            <w:r>
              <w:rPr>
                <w:color w:val="000000"/>
                <w:sz w:val="17"/>
              </w:rPr>
              <w:t>Very low initial capital</w:t>
            </w:r>
          </w:p>
        </w:tc>
        <w:tc>
          <w:tcPr>
            <w:tcW w:w="2102" w:type="dxa"/>
            <w:vAlign w:val="center"/>
          </w:tcPr>
          <w:p w:rsidR="00D406DC" w:rsidRDefault="00000000">
            <w:pPr>
              <w:spacing w:before="0" w:after="0"/>
            </w:pPr>
            <w:r>
              <w:rPr>
                <w:color w:val="000000"/>
                <w:sz w:val="17"/>
              </w:rPr>
              <w:t>Mac mini / cloud GPU</w:t>
            </w:r>
          </w:p>
        </w:tc>
        <w:tc>
          <w:tcPr>
            <w:tcW w:w="2102" w:type="dxa"/>
            <w:vAlign w:val="center"/>
          </w:tcPr>
          <w:p w:rsidR="00D406DC" w:rsidRDefault="00000000">
            <w:pPr>
              <w:spacing w:before="0" w:after="0"/>
            </w:pPr>
            <w:r>
              <w:rPr>
                <w:color w:val="000000"/>
                <w:sz w:val="17"/>
              </w:rPr>
              <w:t>Cloud GPU</w:t>
            </w:r>
          </w:p>
        </w:tc>
        <w:tc>
          <w:tcPr>
            <w:tcW w:w="2102" w:type="dxa"/>
            <w:vAlign w:val="center"/>
          </w:tcPr>
          <w:p w:rsidR="00D406DC" w:rsidRDefault="00000000">
            <w:pPr>
              <w:spacing w:before="0" w:after="0"/>
            </w:pPr>
            <w:r>
              <w:rPr>
                <w:color w:val="000000"/>
                <w:sz w:val="17"/>
              </w:rPr>
              <w:t>Strong</w:t>
            </w:r>
          </w:p>
        </w:tc>
        <w:tc>
          <w:tcPr>
            <w:tcW w:w="2102" w:type="dxa"/>
            <w:vAlign w:val="center"/>
          </w:tcPr>
          <w:p w:rsidR="00D406DC" w:rsidRDefault="00000000">
            <w:pPr>
              <w:spacing w:before="0" w:after="0"/>
            </w:pPr>
            <w:r>
              <w:rPr>
                <w:color w:val="000000"/>
                <w:sz w:val="17"/>
              </w:rPr>
              <w:t>Lower upfront cost; less centralized serving</w:t>
            </w:r>
          </w:p>
        </w:tc>
      </w:tr>
      <w:tr w:rsidR="00D406DC">
        <w:tc>
          <w:tcPr>
            <w:tcW w:w="2102" w:type="dxa"/>
            <w:vAlign w:val="center"/>
          </w:tcPr>
          <w:p w:rsidR="00D406DC" w:rsidRDefault="00000000">
            <w:pPr>
              <w:spacing w:before="0" w:after="0"/>
            </w:pPr>
            <w:r>
              <w:rPr>
                <w:color w:val="000000"/>
                <w:sz w:val="17"/>
              </w:rPr>
              <w:t>₹10–20L pilot</w:t>
            </w:r>
          </w:p>
        </w:tc>
        <w:tc>
          <w:tcPr>
            <w:tcW w:w="2102" w:type="dxa"/>
            <w:vAlign w:val="center"/>
          </w:tcPr>
          <w:p w:rsidR="00D406DC" w:rsidRDefault="00000000">
            <w:pPr>
              <w:spacing w:before="0" w:after="0"/>
            </w:pPr>
            <w:r>
              <w:rPr>
                <w:color w:val="000000"/>
                <w:sz w:val="17"/>
              </w:rPr>
              <w:t>High-memory Mac Studio</w:t>
            </w:r>
          </w:p>
        </w:tc>
        <w:tc>
          <w:tcPr>
            <w:tcW w:w="2102" w:type="dxa"/>
            <w:vAlign w:val="center"/>
          </w:tcPr>
          <w:p w:rsidR="00D406DC" w:rsidRDefault="00000000">
            <w:pPr>
              <w:spacing w:before="0" w:after="0"/>
            </w:pPr>
            <w:r>
              <w:rPr>
                <w:color w:val="000000"/>
                <w:sz w:val="17"/>
              </w:rPr>
              <w:t>L40S/A100 server quote</w:t>
            </w:r>
          </w:p>
        </w:tc>
        <w:tc>
          <w:tcPr>
            <w:tcW w:w="2102" w:type="dxa"/>
            <w:vAlign w:val="center"/>
          </w:tcPr>
          <w:p w:rsidR="00D406DC" w:rsidRDefault="00000000">
            <w:pPr>
              <w:spacing w:before="0" w:after="0"/>
            </w:pPr>
            <w:r>
              <w:rPr>
                <w:color w:val="000000"/>
                <w:sz w:val="17"/>
              </w:rPr>
              <w:t>Depends on quote</w:t>
            </w:r>
          </w:p>
        </w:tc>
        <w:tc>
          <w:tcPr>
            <w:tcW w:w="2102" w:type="dxa"/>
            <w:vAlign w:val="center"/>
          </w:tcPr>
          <w:p w:rsidR="00D406DC" w:rsidRDefault="00000000">
            <w:pPr>
              <w:spacing w:before="0" w:after="0"/>
            </w:pPr>
            <w:r>
              <w:rPr>
                <w:color w:val="000000"/>
                <w:sz w:val="17"/>
              </w:rPr>
              <w:t>Apple simpler; NVIDIA stronger serving ecosystem</w:t>
            </w:r>
          </w:p>
        </w:tc>
      </w:tr>
      <w:tr w:rsidR="00D406DC">
        <w:tc>
          <w:tcPr>
            <w:tcW w:w="2102" w:type="dxa"/>
            <w:vAlign w:val="center"/>
          </w:tcPr>
          <w:p w:rsidR="00D406DC" w:rsidRDefault="00000000">
            <w:pPr>
              <w:spacing w:before="0" w:after="0"/>
            </w:pPr>
            <w:r>
              <w:rPr>
                <w:color w:val="000000"/>
                <w:sz w:val="17"/>
              </w:rPr>
              <w:t>Many concurrent researchers</w:t>
            </w:r>
          </w:p>
        </w:tc>
        <w:tc>
          <w:tcPr>
            <w:tcW w:w="2102" w:type="dxa"/>
            <w:vAlign w:val="center"/>
          </w:tcPr>
          <w:p w:rsidR="00D406DC" w:rsidRDefault="00000000">
            <w:pPr>
              <w:spacing w:before="0" w:after="0"/>
            </w:pPr>
            <w:r>
              <w:rPr>
                <w:color w:val="000000"/>
                <w:sz w:val="17"/>
              </w:rPr>
              <w:t>Multiple Apple nodes</w:t>
            </w:r>
          </w:p>
        </w:tc>
        <w:tc>
          <w:tcPr>
            <w:tcW w:w="2102" w:type="dxa"/>
            <w:vAlign w:val="center"/>
          </w:tcPr>
          <w:p w:rsidR="00D406DC" w:rsidRDefault="00000000">
            <w:pPr>
              <w:spacing w:before="0" w:after="0"/>
            </w:pPr>
            <w:r>
              <w:rPr>
                <w:color w:val="000000"/>
                <w:sz w:val="17"/>
              </w:rPr>
              <w:t>A100 80GB / L40S server</w:t>
            </w:r>
          </w:p>
        </w:tc>
        <w:tc>
          <w:tcPr>
            <w:tcW w:w="2102" w:type="dxa"/>
            <w:vAlign w:val="center"/>
          </w:tcPr>
          <w:p w:rsidR="00D406DC" w:rsidRDefault="00000000">
            <w:pPr>
              <w:spacing w:before="0" w:after="0"/>
            </w:pPr>
            <w:r>
              <w:rPr>
                <w:color w:val="000000"/>
                <w:sz w:val="17"/>
              </w:rPr>
              <w:t>NVIDIA needs server budget</w:t>
            </w:r>
          </w:p>
        </w:tc>
        <w:tc>
          <w:tcPr>
            <w:tcW w:w="2102" w:type="dxa"/>
            <w:vAlign w:val="center"/>
          </w:tcPr>
          <w:p w:rsidR="00D406DC" w:rsidRDefault="00000000">
            <w:pPr>
              <w:spacing w:before="0" w:after="0"/>
            </w:pPr>
            <w:r>
              <w:rPr>
                <w:color w:val="000000"/>
                <w:sz w:val="17"/>
              </w:rPr>
              <w:t>NVIDIA is easier as a centralized service</w:t>
            </w:r>
          </w:p>
        </w:tc>
      </w:tr>
      <w:tr w:rsidR="00D406DC">
        <w:tc>
          <w:tcPr>
            <w:tcW w:w="2102" w:type="dxa"/>
            <w:vAlign w:val="center"/>
          </w:tcPr>
          <w:p w:rsidR="00D406DC" w:rsidRDefault="00000000">
            <w:pPr>
              <w:spacing w:before="0" w:after="0"/>
            </w:pPr>
            <w:r>
              <w:rPr>
                <w:color w:val="000000"/>
                <w:sz w:val="17"/>
              </w:rPr>
              <w:t>Large-context research</w:t>
            </w:r>
          </w:p>
        </w:tc>
        <w:tc>
          <w:tcPr>
            <w:tcW w:w="2102" w:type="dxa"/>
            <w:vAlign w:val="center"/>
          </w:tcPr>
          <w:p w:rsidR="00D406DC" w:rsidRDefault="00000000">
            <w:pPr>
              <w:spacing w:before="0" w:after="0"/>
            </w:pPr>
            <w:r>
              <w:rPr>
                <w:color w:val="000000"/>
                <w:sz w:val="17"/>
              </w:rPr>
              <w:t>High-memory Mac Studio</w:t>
            </w:r>
          </w:p>
        </w:tc>
        <w:tc>
          <w:tcPr>
            <w:tcW w:w="2102" w:type="dxa"/>
            <w:vAlign w:val="center"/>
          </w:tcPr>
          <w:p w:rsidR="00D406DC" w:rsidRDefault="00000000">
            <w:pPr>
              <w:spacing w:before="0" w:after="0"/>
            </w:pPr>
            <w:r>
              <w:rPr>
                <w:color w:val="000000"/>
                <w:sz w:val="17"/>
              </w:rPr>
              <w:t>A100 80GB+</w:t>
            </w:r>
          </w:p>
        </w:tc>
        <w:tc>
          <w:tcPr>
            <w:tcW w:w="2102" w:type="dxa"/>
            <w:vAlign w:val="center"/>
          </w:tcPr>
          <w:p w:rsidR="00D406DC" w:rsidRDefault="00000000">
            <w:pPr>
              <w:spacing w:before="0" w:after="0"/>
            </w:pPr>
            <w:r>
              <w:rPr>
                <w:color w:val="000000"/>
                <w:sz w:val="17"/>
              </w:rPr>
              <w:t>Both possible</w:t>
            </w:r>
          </w:p>
        </w:tc>
        <w:tc>
          <w:tcPr>
            <w:tcW w:w="2102" w:type="dxa"/>
            <w:vAlign w:val="center"/>
          </w:tcPr>
          <w:p w:rsidR="00D406DC" w:rsidRDefault="00000000">
            <w:pPr>
              <w:spacing w:before="0" w:after="0"/>
            </w:pPr>
            <w:r>
              <w:rPr>
                <w:color w:val="000000"/>
                <w:sz w:val="17"/>
              </w:rPr>
              <w:t>Memory capacity vs inference throughput</w:t>
            </w:r>
          </w:p>
        </w:tc>
      </w:tr>
      <w:tr w:rsidR="00D406DC">
        <w:tc>
          <w:tcPr>
            <w:tcW w:w="2102" w:type="dxa"/>
            <w:vAlign w:val="center"/>
          </w:tcPr>
          <w:p w:rsidR="00D406DC" w:rsidRDefault="00000000">
            <w:pPr>
              <w:spacing w:before="0" w:after="0"/>
            </w:pPr>
            <w:r>
              <w:rPr>
                <w:color w:val="000000"/>
                <w:sz w:val="17"/>
              </w:rPr>
              <w:t>Strict local privacy</w:t>
            </w:r>
          </w:p>
        </w:tc>
        <w:tc>
          <w:tcPr>
            <w:tcW w:w="2102" w:type="dxa"/>
            <w:vAlign w:val="center"/>
          </w:tcPr>
          <w:p w:rsidR="00D406DC" w:rsidRDefault="00000000">
            <w:pPr>
              <w:spacing w:before="0" w:after="0"/>
            </w:pPr>
            <w:r>
              <w:rPr>
                <w:color w:val="000000"/>
                <w:sz w:val="17"/>
              </w:rPr>
              <w:t>On-prem Apple</w:t>
            </w:r>
          </w:p>
        </w:tc>
        <w:tc>
          <w:tcPr>
            <w:tcW w:w="2102" w:type="dxa"/>
            <w:vAlign w:val="center"/>
          </w:tcPr>
          <w:p w:rsidR="00D406DC" w:rsidRDefault="00000000">
            <w:pPr>
              <w:spacing w:before="0" w:after="0"/>
            </w:pPr>
            <w:r>
              <w:rPr>
                <w:color w:val="000000"/>
                <w:sz w:val="17"/>
              </w:rPr>
              <w:t>On-prem NVIDIA</w:t>
            </w:r>
          </w:p>
        </w:tc>
        <w:tc>
          <w:tcPr>
            <w:tcW w:w="2102" w:type="dxa"/>
            <w:vAlign w:val="center"/>
          </w:tcPr>
          <w:p w:rsidR="00D406DC" w:rsidRDefault="00000000">
            <w:pPr>
              <w:spacing w:before="0" w:after="0"/>
            </w:pPr>
            <w:r>
              <w:rPr>
                <w:color w:val="000000"/>
                <w:sz w:val="17"/>
              </w:rPr>
              <w:t>Both</w:t>
            </w:r>
          </w:p>
        </w:tc>
        <w:tc>
          <w:tcPr>
            <w:tcW w:w="2102" w:type="dxa"/>
            <w:vAlign w:val="center"/>
          </w:tcPr>
          <w:p w:rsidR="00D406DC" w:rsidRDefault="00000000">
            <w:pPr>
              <w:spacing w:before="0" w:after="0"/>
            </w:pPr>
            <w:r>
              <w:rPr>
                <w:color w:val="000000"/>
                <w:sz w:val="17"/>
              </w:rPr>
              <w:t>Security architecture is decisive</w:t>
            </w:r>
          </w:p>
        </w:tc>
      </w:tr>
    </w:tbl>
    <w:p w:rsidR="00D406DC" w:rsidRDefault="00D406DC" w:rsidP="00B63041">
      <w:pPr>
        <w:pStyle w:val="ListNumber"/>
        <w:numPr>
          <w:ilvl w:val="0"/>
          <w:numId w:val="0"/>
        </w:numPr>
        <w:ind w:left="360"/>
      </w:pPr>
    </w:p>
    <w:p>
      <w:pPr>
        <w:spacing w:before="160"/>
      </w:pPr>
      <w:r>
        <w:rPr>
          <w:b/>
          <w:color w:val="000000"/>
          <w:sz w:val="24"/>
        </w:rPr>
        <w:t>18. ROI Analysis — 200 Employees</w:t>
      </w:r>
    </w:p>
    <w:p>
      <w:pPr>
        <w:spacing w:after="80"/>
      </w:pPr>
      <w:r>
        <w:rPr>
          <w:b/>
          <w:color w:val="000000"/>
        </w:rPr>
        <w:t xml:space="preserve">Scenario: </w:t>
      </w:r>
      <w:r>
        <w:rPr>
          <w:color w:val="000000"/>
        </w:rPr>
        <w:t>200 employees each have an active Claude Pro subscription. The AI Lab is assumed to require ₹30 lakh of initial investment. Electricity, cooling and routine operating costs are excluded from this simplified comparison, as requested.</w:t>
      </w:r>
    </w:p>
    <w:tbl>
      <w:tblPr>
        <w:tblStyle w:val="TableGrid"/>
        <w:tblW w:type="auto" w:w="0"/>
        <w:jc w:val="center"/>
        <w:tblLook w:firstColumn="1" w:firstRow="1" w:lastColumn="0" w:lastRow="0" w:noHBand="0" w:noVBand="1" w:val="04A0"/>
      </w:tblPr>
      <w:tblGrid>
        <w:gridCol w:w="3504"/>
        <w:gridCol w:w="3504"/>
        <w:gridCol w:w="3504"/>
      </w:tblGrid>
      <w:tr>
        <w:tc>
          <w:tcPr>
            <w:tcW w:type="dxa" w:w="3504"/>
            <w:vAlign w:val="center"/>
          </w:tcPr>
          <w:p>
            <w:pPr>
              <w:spacing w:before="0" w:after="0"/>
            </w:pPr>
            <w:r>
              <w:rPr>
                <w:b/>
                <w:color w:val="000000"/>
                <w:sz w:val="17"/>
              </w:rPr>
              <w:t>Parameter</w:t>
            </w:r>
          </w:p>
        </w:tc>
        <w:tc>
          <w:tcPr>
            <w:tcW w:type="dxa" w:w="3504"/>
            <w:vAlign w:val="center"/>
          </w:tcPr>
          <w:p>
            <w:pPr>
              <w:spacing w:before="0" w:after="0"/>
            </w:pPr>
            <w:r>
              <w:rPr>
                <w:b/>
                <w:color w:val="000000"/>
                <w:sz w:val="17"/>
              </w:rPr>
              <w:t>External Claude Pro</w:t>
            </w:r>
          </w:p>
        </w:tc>
        <w:tc>
          <w:tcPr>
            <w:tcW w:type="dxa" w:w="3504"/>
            <w:vAlign w:val="center"/>
          </w:tcPr>
          <w:p>
            <w:pPr>
              <w:spacing w:before="0" w:after="0"/>
            </w:pPr>
            <w:r>
              <w:rPr>
                <w:b/>
                <w:color w:val="000000"/>
                <w:sz w:val="17"/>
              </w:rPr>
              <w:t>Private AI Lab</w:t>
            </w:r>
          </w:p>
        </w:tc>
      </w:tr>
      <w:tr>
        <w:tc>
          <w:tcPr>
            <w:tcW w:type="dxa" w:w="3504"/>
            <w:vAlign w:val="center"/>
          </w:tcPr>
          <w:p>
            <w:pPr>
              <w:spacing w:before="0" w:after="0"/>
            </w:pPr>
            <w:r>
              <w:rPr>
                <w:color w:val="000000"/>
                <w:sz w:val="17"/>
              </w:rPr>
              <w:t>Employees</w:t>
            </w:r>
          </w:p>
        </w:tc>
        <w:tc>
          <w:tcPr>
            <w:tcW w:type="dxa" w:w="3504"/>
            <w:vAlign w:val="center"/>
          </w:tcPr>
          <w:p>
            <w:pPr>
              <w:spacing w:before="0" w:after="0"/>
            </w:pPr>
            <w:r>
              <w:rPr>
                <w:color w:val="000000"/>
                <w:sz w:val="17"/>
              </w:rPr>
              <w:t>200</w:t>
            </w:r>
          </w:p>
        </w:tc>
        <w:tc>
          <w:tcPr>
            <w:tcW w:type="dxa" w:w="3504"/>
            <w:vAlign w:val="center"/>
          </w:tcPr>
          <w:p>
            <w:pPr>
              <w:spacing w:before="0" w:after="0"/>
            </w:pPr>
            <w:r>
              <w:rPr>
                <w:color w:val="000000"/>
                <w:sz w:val="17"/>
              </w:rPr>
              <w:t>200</w:t>
            </w:r>
          </w:p>
        </w:tc>
      </w:tr>
      <w:tr>
        <w:tc>
          <w:tcPr>
            <w:tcW w:type="dxa" w:w="3504"/>
            <w:vAlign w:val="center"/>
          </w:tcPr>
          <w:p>
            <w:pPr>
              <w:spacing w:before="0" w:after="0"/>
            </w:pPr>
            <w:r>
              <w:rPr>
                <w:color w:val="000000"/>
                <w:sz w:val="17"/>
              </w:rPr>
              <w:t>AI subscription / user / month</w:t>
            </w:r>
          </w:p>
        </w:tc>
        <w:tc>
          <w:tcPr>
            <w:tcW w:type="dxa" w:w="3504"/>
            <w:vAlign w:val="center"/>
          </w:tcPr>
          <w:p>
            <w:pPr>
              <w:spacing w:before="0" w:after="0"/>
            </w:pPr>
            <w:r>
              <w:rPr>
                <w:color w:val="000000"/>
                <w:sz w:val="17"/>
              </w:rPr>
              <w:t>₹1,999*</w:t>
            </w:r>
          </w:p>
        </w:tc>
        <w:tc>
          <w:tcPr>
            <w:tcW w:type="dxa" w:w="3504"/>
            <w:vAlign w:val="center"/>
          </w:tcPr>
          <w:p>
            <w:pPr>
              <w:spacing w:before="0" w:after="0"/>
            </w:pPr>
            <w:r>
              <w:rPr>
                <w:color w:val="000000"/>
                <w:sz w:val="17"/>
              </w:rPr>
              <w:t>₹0 subscription</w:t>
            </w:r>
          </w:p>
        </w:tc>
      </w:tr>
      <w:tr>
        <w:tc>
          <w:tcPr>
            <w:tcW w:type="dxa" w:w="3504"/>
            <w:vAlign w:val="center"/>
          </w:tcPr>
          <w:p>
            <w:pPr>
              <w:spacing w:before="0" w:after="0"/>
            </w:pPr>
            <w:r>
              <w:rPr>
                <w:color w:val="000000"/>
                <w:sz w:val="17"/>
              </w:rPr>
              <w:t>Monthly cost</w:t>
            </w:r>
          </w:p>
        </w:tc>
        <w:tc>
          <w:tcPr>
            <w:tcW w:type="dxa" w:w="3504"/>
            <w:vAlign w:val="center"/>
          </w:tcPr>
          <w:p>
            <w:pPr>
              <w:spacing w:before="0" w:after="0"/>
            </w:pPr>
            <w:r>
              <w:rPr>
                <w:color w:val="000000"/>
                <w:sz w:val="17"/>
              </w:rPr>
              <w:t>₹3,99,800</w:t>
            </w:r>
          </w:p>
        </w:tc>
        <w:tc>
          <w:tcPr>
            <w:tcW w:type="dxa" w:w="3504"/>
            <w:vAlign w:val="center"/>
          </w:tcPr>
          <w:p>
            <w:pPr>
              <w:spacing w:before="0" w:after="0"/>
            </w:pPr>
            <w:r>
              <w:rPr>
                <w:color w:val="000000"/>
                <w:sz w:val="17"/>
              </w:rPr>
              <w:t>₹0 subscription</w:t>
            </w:r>
          </w:p>
        </w:tc>
      </w:tr>
      <w:tr>
        <w:tc>
          <w:tcPr>
            <w:tcW w:type="dxa" w:w="3504"/>
            <w:vAlign w:val="center"/>
          </w:tcPr>
          <w:p>
            <w:pPr>
              <w:spacing w:before="0" w:after="0"/>
            </w:pPr>
            <w:r>
              <w:rPr>
                <w:color w:val="000000"/>
                <w:sz w:val="17"/>
              </w:rPr>
              <w:t>Annual cost</w:t>
            </w:r>
          </w:p>
        </w:tc>
        <w:tc>
          <w:tcPr>
            <w:tcW w:type="dxa" w:w="3504"/>
            <w:vAlign w:val="center"/>
          </w:tcPr>
          <w:p>
            <w:pPr>
              <w:spacing w:before="0" w:after="0"/>
            </w:pPr>
            <w:r>
              <w:rPr>
                <w:color w:val="000000"/>
                <w:sz w:val="17"/>
              </w:rPr>
              <w:t>₹47.98 lakh</w:t>
            </w:r>
          </w:p>
        </w:tc>
        <w:tc>
          <w:tcPr>
            <w:tcW w:type="dxa" w:w="3504"/>
            <w:vAlign w:val="center"/>
          </w:tcPr>
          <w:p>
            <w:pPr>
              <w:spacing w:before="0" w:after="0"/>
            </w:pPr>
            <w:r>
              <w:rPr>
                <w:color w:val="000000"/>
                <w:sz w:val="17"/>
              </w:rPr>
              <w:t>₹30 lakh initial investment</w:t>
            </w:r>
          </w:p>
        </w:tc>
      </w:tr>
      <w:tr>
        <w:tc>
          <w:tcPr>
            <w:tcW w:type="dxa" w:w="3504"/>
            <w:vAlign w:val="center"/>
          </w:tcPr>
          <w:p>
            <w:pPr>
              <w:spacing w:before="0" w:after="0"/>
            </w:pPr>
            <w:r>
              <w:rPr>
                <w:color w:val="000000"/>
                <w:sz w:val="17"/>
              </w:rPr>
              <w:t>Ownership</w:t>
            </w:r>
          </w:p>
        </w:tc>
        <w:tc>
          <w:tcPr>
            <w:tcW w:type="dxa" w:w="3504"/>
            <w:vAlign w:val="center"/>
          </w:tcPr>
          <w:p>
            <w:pPr>
              <w:spacing w:before="0" w:after="0"/>
            </w:pPr>
            <w:r>
              <w:rPr>
                <w:color w:val="000000"/>
                <w:sz w:val="17"/>
              </w:rPr>
              <w:t>External service</w:t>
            </w:r>
          </w:p>
        </w:tc>
        <w:tc>
          <w:tcPr>
            <w:tcW w:type="dxa" w:w="3504"/>
            <w:vAlign w:val="center"/>
          </w:tcPr>
          <w:p>
            <w:pPr>
              <w:spacing w:before="0" w:after="0"/>
            </w:pPr>
            <w:r>
              <w:rPr>
                <w:color w:val="000000"/>
                <w:sz w:val="17"/>
              </w:rPr>
              <w:t>Bank-owned infrastructure</w:t>
            </w:r>
          </w:p>
        </w:tc>
      </w:tr>
      <w:tr>
        <w:tc>
          <w:tcPr>
            <w:tcW w:type="dxa" w:w="3504"/>
            <w:vAlign w:val="center"/>
          </w:tcPr>
          <w:p>
            <w:pPr>
              <w:spacing w:before="0" w:after="0"/>
            </w:pPr>
            <w:r>
              <w:rPr>
                <w:color w:val="000000"/>
                <w:sz w:val="17"/>
              </w:rPr>
              <w:t>Recurring per-user subscription</w:t>
            </w:r>
          </w:p>
        </w:tc>
        <w:tc>
          <w:tcPr>
            <w:tcW w:type="dxa" w:w="3504"/>
            <w:vAlign w:val="center"/>
          </w:tcPr>
          <w:p>
            <w:pPr>
              <w:spacing w:before="0" w:after="0"/>
            </w:pPr>
            <w:r>
              <w:rPr>
                <w:color w:val="000000"/>
                <w:sz w:val="17"/>
              </w:rPr>
              <w:t>Yes</w:t>
            </w:r>
          </w:p>
        </w:tc>
        <w:tc>
          <w:tcPr>
            <w:tcW w:type="dxa" w:w="3504"/>
            <w:vAlign w:val="center"/>
          </w:tcPr>
          <w:p>
            <w:pPr>
              <w:spacing w:before="0" w:after="0"/>
            </w:pPr>
            <w:r>
              <w:rPr>
                <w:color w:val="000000"/>
                <w:sz w:val="17"/>
              </w:rPr>
              <w:t>No</w:t>
            </w:r>
          </w:p>
        </w:tc>
      </w:tr>
    </w:tbl>
    <w:p>
      <w:pPr>
        <w:spacing w:before="100" w:after="60"/>
      </w:pPr>
      <w:r>
        <w:rPr>
          <w:b/>
          <w:color w:val="000000"/>
        </w:rPr>
        <w:t>Cumulative cost comparison</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vAlign w:val="center"/>
          </w:tcPr>
          <w:p>
            <w:pPr>
              <w:spacing w:before="0" w:after="0"/>
            </w:pPr>
            <w:r>
              <w:rPr>
                <w:b/>
                <w:color w:val="000000"/>
                <w:sz w:val="17"/>
              </w:rPr>
              <w:t>Period</w:t>
            </w:r>
          </w:p>
        </w:tc>
        <w:tc>
          <w:tcPr>
            <w:tcW w:type="dxa" w:w="2628"/>
            <w:vAlign w:val="center"/>
          </w:tcPr>
          <w:p>
            <w:pPr>
              <w:spacing w:before="0" w:after="0"/>
            </w:pPr>
            <w:r>
              <w:rPr>
                <w:b/>
                <w:color w:val="000000"/>
                <w:sz w:val="17"/>
              </w:rPr>
              <w:t>Claude Pro — 200 users</w:t>
            </w:r>
          </w:p>
        </w:tc>
        <w:tc>
          <w:tcPr>
            <w:tcW w:type="dxa" w:w="2628"/>
            <w:vAlign w:val="center"/>
          </w:tcPr>
          <w:p>
            <w:pPr>
              <w:spacing w:before="0" w:after="0"/>
            </w:pPr>
            <w:r>
              <w:rPr>
                <w:b/>
                <w:color w:val="000000"/>
                <w:sz w:val="17"/>
              </w:rPr>
              <w:t>AI Lab — ₹30L CAPEX</w:t>
            </w:r>
          </w:p>
        </w:tc>
        <w:tc>
          <w:tcPr>
            <w:tcW w:type="dxa" w:w="2628"/>
            <w:vAlign w:val="center"/>
          </w:tcPr>
          <w:p>
            <w:pPr>
              <w:spacing w:before="0" w:after="0"/>
            </w:pPr>
            <w:r>
              <w:rPr>
                <w:b/>
                <w:color w:val="000000"/>
                <w:sz w:val="17"/>
              </w:rPr>
              <w:t>Gross saving vs. Claude</w:t>
            </w:r>
          </w:p>
        </w:tc>
      </w:tr>
      <w:tr>
        <w:tc>
          <w:tcPr>
            <w:tcW w:type="dxa" w:w="2628"/>
            <w:vAlign w:val="center"/>
          </w:tcPr>
          <w:p>
            <w:pPr>
              <w:spacing w:before="0" w:after="0"/>
            </w:pPr>
            <w:r>
              <w:rPr>
                <w:color w:val="000000"/>
                <w:sz w:val="17"/>
              </w:rPr>
              <w:t>6 months</w:t>
            </w:r>
          </w:p>
        </w:tc>
        <w:tc>
          <w:tcPr>
            <w:tcW w:type="dxa" w:w="2628"/>
            <w:vAlign w:val="center"/>
          </w:tcPr>
          <w:p>
            <w:pPr>
              <w:spacing w:before="0" w:after="0"/>
            </w:pPr>
            <w:r>
              <w:rPr>
                <w:color w:val="000000"/>
                <w:sz w:val="17"/>
              </w:rPr>
              <w:t>₹23.99L</w:t>
            </w:r>
          </w:p>
        </w:tc>
        <w:tc>
          <w:tcPr>
            <w:tcW w:type="dxa" w:w="2628"/>
            <w:vAlign w:val="center"/>
          </w:tcPr>
          <w:p>
            <w:pPr>
              <w:spacing w:before="0" w:after="0"/>
            </w:pPr>
            <w:r>
              <w:rPr>
                <w:color w:val="000000"/>
                <w:sz w:val="17"/>
              </w:rPr>
              <w:t>₹30.00L</w:t>
            </w:r>
          </w:p>
        </w:tc>
        <w:tc>
          <w:tcPr>
            <w:tcW w:type="dxa" w:w="2628"/>
            <w:vAlign w:val="center"/>
          </w:tcPr>
          <w:p>
            <w:pPr>
              <w:spacing w:before="0" w:after="0"/>
            </w:pPr>
            <w:r>
              <w:rPr>
                <w:color w:val="000000"/>
                <w:sz w:val="17"/>
              </w:rPr>
              <w:t>-₹6.01L</w:t>
            </w:r>
          </w:p>
        </w:tc>
      </w:tr>
      <w:tr>
        <w:tc>
          <w:tcPr>
            <w:tcW w:type="dxa" w:w="2628"/>
            <w:vAlign w:val="center"/>
          </w:tcPr>
          <w:p>
            <w:pPr>
              <w:spacing w:before="0" w:after="0"/>
            </w:pPr>
            <w:r>
              <w:rPr>
                <w:color w:val="000000"/>
                <w:sz w:val="17"/>
              </w:rPr>
              <w:t>~7.5 months</w:t>
            </w:r>
          </w:p>
        </w:tc>
        <w:tc>
          <w:tcPr>
            <w:tcW w:type="dxa" w:w="2628"/>
            <w:vAlign w:val="center"/>
          </w:tcPr>
          <w:p>
            <w:pPr>
              <w:spacing w:before="0" w:after="0"/>
            </w:pPr>
            <w:r>
              <w:rPr>
                <w:color w:val="000000"/>
                <w:sz w:val="17"/>
              </w:rPr>
              <w:t>₹30.00L</w:t>
            </w:r>
          </w:p>
        </w:tc>
        <w:tc>
          <w:tcPr>
            <w:tcW w:type="dxa" w:w="2628"/>
            <w:vAlign w:val="center"/>
          </w:tcPr>
          <w:p>
            <w:pPr>
              <w:spacing w:before="0" w:after="0"/>
            </w:pPr>
            <w:r>
              <w:rPr>
                <w:color w:val="000000"/>
                <w:sz w:val="17"/>
              </w:rPr>
              <w:t>₹30.00L</w:t>
            </w:r>
          </w:p>
        </w:tc>
        <w:tc>
          <w:tcPr>
            <w:tcW w:type="dxa" w:w="2628"/>
            <w:vAlign w:val="center"/>
          </w:tcPr>
          <w:p>
            <w:pPr>
              <w:spacing w:before="0" w:after="0"/>
            </w:pPr>
            <w:r>
              <w:rPr>
                <w:color w:val="000000"/>
                <w:sz w:val="17"/>
              </w:rPr>
              <w:t>Break-even</w:t>
            </w:r>
          </w:p>
        </w:tc>
      </w:tr>
      <w:tr>
        <w:tc>
          <w:tcPr>
            <w:tcW w:type="dxa" w:w="2628"/>
            <w:vAlign w:val="center"/>
          </w:tcPr>
          <w:p>
            <w:pPr>
              <w:spacing w:before="0" w:after="0"/>
            </w:pPr>
            <w:r>
              <w:rPr>
                <w:color w:val="000000"/>
                <w:sz w:val="17"/>
              </w:rPr>
              <w:t>1 year</w:t>
            </w:r>
          </w:p>
        </w:tc>
        <w:tc>
          <w:tcPr>
            <w:tcW w:type="dxa" w:w="2628"/>
            <w:vAlign w:val="center"/>
          </w:tcPr>
          <w:p>
            <w:pPr>
              <w:spacing w:before="0" w:after="0"/>
            </w:pPr>
            <w:r>
              <w:rPr>
                <w:color w:val="000000"/>
                <w:sz w:val="17"/>
              </w:rPr>
              <w:t>₹47.98L</w:t>
            </w:r>
          </w:p>
        </w:tc>
        <w:tc>
          <w:tcPr>
            <w:tcW w:type="dxa" w:w="2628"/>
            <w:vAlign w:val="center"/>
          </w:tcPr>
          <w:p>
            <w:pPr>
              <w:spacing w:before="0" w:after="0"/>
            </w:pPr>
            <w:r>
              <w:rPr>
                <w:color w:val="000000"/>
                <w:sz w:val="17"/>
              </w:rPr>
              <w:t>₹30.00L</w:t>
            </w:r>
          </w:p>
        </w:tc>
        <w:tc>
          <w:tcPr>
            <w:tcW w:type="dxa" w:w="2628"/>
            <w:vAlign w:val="center"/>
          </w:tcPr>
          <w:p>
            <w:pPr>
              <w:spacing w:before="0" w:after="0"/>
            </w:pPr>
            <w:r>
              <w:rPr>
                <w:color w:val="000000"/>
                <w:sz w:val="17"/>
              </w:rPr>
              <w:t>₹17.98L</w:t>
            </w:r>
          </w:p>
        </w:tc>
      </w:tr>
      <w:tr>
        <w:tc>
          <w:tcPr>
            <w:tcW w:type="dxa" w:w="2628"/>
            <w:vAlign w:val="center"/>
          </w:tcPr>
          <w:p>
            <w:pPr>
              <w:spacing w:before="0" w:after="0"/>
            </w:pPr>
            <w:r>
              <w:rPr>
                <w:color w:val="000000"/>
                <w:sz w:val="17"/>
              </w:rPr>
              <w:t>2 years</w:t>
            </w:r>
          </w:p>
        </w:tc>
        <w:tc>
          <w:tcPr>
            <w:tcW w:type="dxa" w:w="2628"/>
            <w:vAlign w:val="center"/>
          </w:tcPr>
          <w:p>
            <w:pPr>
              <w:spacing w:before="0" w:after="0"/>
            </w:pPr>
            <w:r>
              <w:rPr>
                <w:color w:val="000000"/>
                <w:sz w:val="17"/>
              </w:rPr>
              <w:t>₹95.95L</w:t>
            </w:r>
          </w:p>
        </w:tc>
        <w:tc>
          <w:tcPr>
            <w:tcW w:type="dxa" w:w="2628"/>
            <w:vAlign w:val="center"/>
          </w:tcPr>
          <w:p>
            <w:pPr>
              <w:spacing w:before="0" w:after="0"/>
            </w:pPr>
            <w:r>
              <w:rPr>
                <w:color w:val="000000"/>
                <w:sz w:val="17"/>
              </w:rPr>
              <w:t>₹30.00L</w:t>
            </w:r>
          </w:p>
        </w:tc>
        <w:tc>
          <w:tcPr>
            <w:tcW w:type="dxa" w:w="2628"/>
            <w:vAlign w:val="center"/>
          </w:tcPr>
          <w:p>
            <w:pPr>
              <w:spacing w:before="0" w:after="0"/>
            </w:pPr>
            <w:r>
              <w:rPr>
                <w:color w:val="000000"/>
                <w:sz w:val="17"/>
              </w:rPr>
              <w:t>₹65.95L</w:t>
            </w:r>
          </w:p>
        </w:tc>
      </w:tr>
      <w:tr>
        <w:tc>
          <w:tcPr>
            <w:tcW w:type="dxa" w:w="2628"/>
            <w:vAlign w:val="center"/>
          </w:tcPr>
          <w:p>
            <w:pPr>
              <w:spacing w:before="0" w:after="0"/>
            </w:pPr>
            <w:r>
              <w:rPr>
                <w:color w:val="000000"/>
                <w:sz w:val="17"/>
              </w:rPr>
              <w:t>3 years</w:t>
            </w:r>
          </w:p>
        </w:tc>
        <w:tc>
          <w:tcPr>
            <w:tcW w:type="dxa" w:w="2628"/>
            <w:vAlign w:val="center"/>
          </w:tcPr>
          <w:p>
            <w:pPr>
              <w:spacing w:before="0" w:after="0"/>
            </w:pPr>
            <w:r>
              <w:rPr>
                <w:color w:val="000000"/>
                <w:sz w:val="17"/>
              </w:rPr>
              <w:t>₹1.44Cr</w:t>
            </w:r>
          </w:p>
        </w:tc>
        <w:tc>
          <w:tcPr>
            <w:tcW w:type="dxa" w:w="2628"/>
            <w:vAlign w:val="center"/>
          </w:tcPr>
          <w:p>
            <w:pPr>
              <w:spacing w:before="0" w:after="0"/>
            </w:pPr>
            <w:r>
              <w:rPr>
                <w:color w:val="000000"/>
                <w:sz w:val="17"/>
              </w:rPr>
              <w:t>₹30.00L</w:t>
            </w:r>
          </w:p>
        </w:tc>
        <w:tc>
          <w:tcPr>
            <w:tcW w:type="dxa" w:w="2628"/>
            <w:vAlign w:val="center"/>
          </w:tcPr>
          <w:p>
            <w:pPr>
              <w:spacing w:before="0" w:after="0"/>
            </w:pPr>
            <w:r>
              <w:rPr>
                <w:color w:val="000000"/>
                <w:sz w:val="17"/>
              </w:rPr>
              <w:t>₹1.14Cr</w:t>
            </w:r>
          </w:p>
        </w:tc>
      </w:tr>
      <w:tr>
        <w:tc>
          <w:tcPr>
            <w:tcW w:type="dxa" w:w="2628"/>
            <w:vAlign w:val="center"/>
          </w:tcPr>
          <w:p>
            <w:pPr>
              <w:spacing w:before="0" w:after="0"/>
            </w:pPr>
            <w:r>
              <w:rPr>
                <w:color w:val="000000"/>
                <w:sz w:val="17"/>
              </w:rPr>
              <w:t>5 years</w:t>
            </w:r>
          </w:p>
        </w:tc>
        <w:tc>
          <w:tcPr>
            <w:tcW w:type="dxa" w:w="2628"/>
            <w:vAlign w:val="center"/>
          </w:tcPr>
          <w:p>
            <w:pPr>
              <w:spacing w:before="0" w:after="0"/>
            </w:pPr>
            <w:r>
              <w:rPr>
                <w:color w:val="000000"/>
                <w:sz w:val="17"/>
              </w:rPr>
              <w:t>₹2.40Cr</w:t>
            </w:r>
          </w:p>
        </w:tc>
        <w:tc>
          <w:tcPr>
            <w:tcW w:type="dxa" w:w="2628"/>
            <w:vAlign w:val="center"/>
          </w:tcPr>
          <w:p>
            <w:pPr>
              <w:spacing w:before="0" w:after="0"/>
            </w:pPr>
            <w:r>
              <w:rPr>
                <w:color w:val="000000"/>
                <w:sz w:val="17"/>
              </w:rPr>
              <w:t>₹30.00L</w:t>
            </w:r>
          </w:p>
        </w:tc>
        <w:tc>
          <w:tcPr>
            <w:tcW w:type="dxa" w:w="2628"/>
            <w:vAlign w:val="center"/>
          </w:tcPr>
          <w:p>
            <w:pPr>
              <w:spacing w:before="0" w:after="0"/>
            </w:pPr>
            <w:r>
              <w:rPr>
                <w:color w:val="000000"/>
                <w:sz w:val="17"/>
              </w:rPr>
              <w:t>₹2.10Cr</w:t>
            </w:r>
          </w:p>
        </w:tc>
      </w:tr>
    </w:tbl>
    <w:p>
      <w:pPr>
        <w:spacing w:before="100" w:after="40"/>
      </w:pPr>
      <w:r>
        <w:rPr>
          <w:b/>
          <w:color w:val="000000"/>
        </w:rPr>
        <w:t>Key ROI figures</w:t>
      </w:r>
    </w:p>
    <w:tbl>
      <w:tblPr>
        <w:tblStyle w:val="TableGrid"/>
        <w:tblW w:type="auto" w:w="0"/>
        <w:jc w:val="center"/>
        <w:tblLook w:firstColumn="1" w:firstRow="1" w:lastColumn="0" w:lastRow="0" w:noHBand="0" w:noVBand="1" w:val="04A0"/>
      </w:tblPr>
      <w:tblGrid>
        <w:gridCol w:w="5256"/>
        <w:gridCol w:w="5256"/>
      </w:tblGrid>
      <w:tr>
        <w:tc>
          <w:tcPr>
            <w:tcW w:type="dxa" w:w="5256"/>
            <w:vAlign w:val="center"/>
          </w:tcPr>
          <w:p>
            <w:pPr>
              <w:spacing w:before="0" w:after="0"/>
            </w:pPr>
            <w:r>
              <w:rPr>
                <w:b/>
                <w:color w:val="000000"/>
                <w:sz w:val="17"/>
              </w:rPr>
              <w:t>Metric</w:t>
            </w:r>
          </w:p>
        </w:tc>
        <w:tc>
          <w:tcPr>
            <w:tcW w:type="dxa" w:w="5256"/>
            <w:vAlign w:val="center"/>
          </w:tcPr>
          <w:p>
            <w:pPr>
              <w:spacing w:before="0" w:after="0"/>
            </w:pPr>
            <w:r>
              <w:rPr>
                <w:b/>
                <w:color w:val="000000"/>
                <w:sz w:val="17"/>
              </w:rPr>
              <w:t>Result</w:t>
            </w:r>
          </w:p>
        </w:tc>
      </w:tr>
      <w:tr>
        <w:tc>
          <w:tcPr>
            <w:tcW w:type="dxa" w:w="5256"/>
            <w:vAlign w:val="center"/>
          </w:tcPr>
          <w:p>
            <w:pPr>
              <w:spacing w:before="0" w:after="0"/>
            </w:pPr>
            <w:r>
              <w:rPr>
                <w:color w:val="000000"/>
                <w:sz w:val="17"/>
              </w:rPr>
              <w:t>Initial AI Lab investment</w:t>
            </w:r>
          </w:p>
        </w:tc>
        <w:tc>
          <w:tcPr>
            <w:tcW w:type="dxa" w:w="5256"/>
            <w:vAlign w:val="center"/>
          </w:tcPr>
          <w:p>
            <w:pPr>
              <w:spacing w:before="0" w:after="0"/>
            </w:pPr>
            <w:r>
              <w:rPr>
                <w:color w:val="000000"/>
                <w:sz w:val="17"/>
              </w:rPr>
              <w:t>₹30 lakh</w:t>
            </w:r>
          </w:p>
        </w:tc>
      </w:tr>
      <w:tr>
        <w:tc>
          <w:tcPr>
            <w:tcW w:type="dxa" w:w="5256"/>
            <w:vAlign w:val="center"/>
          </w:tcPr>
          <w:p>
            <w:pPr>
              <w:spacing w:before="0" w:after="0"/>
            </w:pPr>
            <w:r>
              <w:rPr>
                <w:color w:val="000000"/>
                <w:sz w:val="17"/>
              </w:rPr>
              <w:t>Monthly external subscription cost</w:t>
            </w:r>
          </w:p>
        </w:tc>
        <w:tc>
          <w:tcPr>
            <w:tcW w:type="dxa" w:w="5256"/>
            <w:vAlign w:val="center"/>
          </w:tcPr>
          <w:p>
            <w:pPr>
              <w:spacing w:before="0" w:after="0"/>
            </w:pPr>
            <w:r>
              <w:rPr>
                <w:color w:val="000000"/>
                <w:sz w:val="17"/>
              </w:rPr>
              <w:t>₹3.998 lakh</w:t>
            </w:r>
          </w:p>
        </w:tc>
      </w:tr>
      <w:tr>
        <w:tc>
          <w:tcPr>
            <w:tcW w:type="dxa" w:w="5256"/>
            <w:vAlign w:val="center"/>
          </w:tcPr>
          <w:p>
            <w:pPr>
              <w:spacing w:before="0" w:after="0"/>
            </w:pPr>
            <w:r>
              <w:rPr>
                <w:color w:val="000000"/>
                <w:sz w:val="17"/>
              </w:rPr>
              <w:t>Estimated payback period</w:t>
            </w:r>
          </w:p>
        </w:tc>
        <w:tc>
          <w:tcPr>
            <w:tcW w:type="dxa" w:w="5256"/>
            <w:vAlign w:val="center"/>
          </w:tcPr>
          <w:p>
            <w:pPr>
              <w:spacing w:before="0" w:after="0"/>
            </w:pPr>
            <w:r>
              <w:rPr>
                <w:color w:val="000000"/>
                <w:sz w:val="17"/>
              </w:rPr>
              <w:t>~7.5 months</w:t>
            </w:r>
          </w:p>
        </w:tc>
      </w:tr>
      <w:tr>
        <w:tc>
          <w:tcPr>
            <w:tcW w:type="dxa" w:w="5256"/>
            <w:vAlign w:val="center"/>
          </w:tcPr>
          <w:p>
            <w:pPr>
              <w:spacing w:before="0" w:after="0"/>
            </w:pPr>
            <w:r>
              <w:rPr>
                <w:color w:val="000000"/>
                <w:sz w:val="17"/>
              </w:rPr>
              <w:t>3-year gross avoided subscription cost</w:t>
            </w:r>
          </w:p>
        </w:tc>
        <w:tc>
          <w:tcPr>
            <w:tcW w:type="dxa" w:w="5256"/>
            <w:vAlign w:val="center"/>
          </w:tcPr>
          <w:p>
            <w:pPr>
              <w:spacing w:before="0" w:after="0"/>
            </w:pPr>
            <w:r>
              <w:rPr>
                <w:color w:val="000000"/>
                <w:sz w:val="17"/>
              </w:rPr>
              <w:t>₹1.44 crore</w:t>
            </w:r>
          </w:p>
        </w:tc>
      </w:tr>
      <w:tr>
        <w:tc>
          <w:tcPr>
            <w:tcW w:type="dxa" w:w="5256"/>
            <w:vAlign w:val="center"/>
          </w:tcPr>
          <w:p>
            <w:pPr>
              <w:spacing w:before="0" w:after="0"/>
            </w:pPr>
            <w:r>
              <w:rPr>
                <w:color w:val="000000"/>
                <w:sz w:val="17"/>
              </w:rPr>
              <w:t>3-year gross saving after ₹30L investment</w:t>
            </w:r>
          </w:p>
        </w:tc>
        <w:tc>
          <w:tcPr>
            <w:tcW w:type="dxa" w:w="5256"/>
            <w:vAlign w:val="center"/>
          </w:tcPr>
          <w:p>
            <w:pPr>
              <w:spacing w:before="0" w:after="0"/>
            </w:pPr>
            <w:r>
              <w:rPr>
                <w:color w:val="000000"/>
                <w:sz w:val="17"/>
              </w:rPr>
              <w:t>~₹1.14 crore</w:t>
            </w:r>
          </w:p>
        </w:tc>
      </w:tr>
      <w:tr>
        <w:tc>
          <w:tcPr>
            <w:tcW w:type="dxa" w:w="5256"/>
            <w:vAlign w:val="center"/>
          </w:tcPr>
          <w:p>
            <w:pPr>
              <w:spacing w:before="0" w:after="0"/>
            </w:pPr>
            <w:r>
              <w:rPr>
                <w:color w:val="000000"/>
                <w:sz w:val="17"/>
              </w:rPr>
              <w:t>Simplified 3-year ROI</w:t>
            </w:r>
          </w:p>
        </w:tc>
        <w:tc>
          <w:tcPr>
            <w:tcW w:type="dxa" w:w="5256"/>
            <w:vAlign w:val="center"/>
          </w:tcPr>
          <w:p>
            <w:pPr>
              <w:spacing w:before="0" w:after="0"/>
            </w:pPr>
            <w:r>
              <w:rPr>
                <w:color w:val="000000"/>
                <w:sz w:val="17"/>
              </w:rPr>
              <w:t>~380%</w:t>
            </w:r>
          </w:p>
        </w:tc>
      </w:tr>
    </w:tbl>
    <w:p>
      <w:pPr>
        <w:spacing w:before="100" w:after="40"/>
      </w:pPr>
      <w:r>
        <w:rPr>
          <w:b/>
          <w:color w:val="000000"/>
        </w:rPr>
        <w:t xml:space="preserve">Why the AI Lab is beneficial: </w:t>
      </w:r>
      <w:r>
        <w:rPr>
          <w:color w:val="000000"/>
        </w:rPr>
        <w:t>the cost model changes from a recurring per-user subscription to an owned internal AI platform. Once the initial investment is recovered, the bank avoids the recurring subscription charge for those users, while retaining the infrastructure for continued research and internal AI workloads. The lab can also provide centralized access, privacy controls and model routing without requiring every employee to maintain an external AI subscription.</w:t>
      </w:r>
    </w:p>
    <w:p>
      <w:pPr>
        <w:spacing w:before="40"/>
      </w:pPr>
      <w:r>
        <w:rPr>
          <w:b/>
          <w:color w:val="000000"/>
        </w:rPr>
        <w:t xml:space="preserve">Planning note: </w:t>
      </w:r>
      <w:r>
        <w:rPr>
          <w:color w:val="000000"/>
        </w:rPr>
        <w:t>this ROI assumes all 200 employees would otherwise maintain an active Pro subscription and that the lab can serve their actual workload. It does not assume 200 simultaneous users. Actual capacity should be validated using concurrent requests, tokens/sec, queue time and model workload benchmarks.</w:t>
      </w:r>
    </w:p>
    <w:p>
      <w:pPr>
        <w:spacing w:before="40"/>
      </w:pPr>
      <w:r>
        <w:rPr>
          <w:b/>
          <w:color w:val="000000"/>
        </w:rPr>
        <w:t xml:space="preserve">*Pricing basis: </w:t>
      </w:r>
      <w:r>
        <w:rPr>
          <w:color w:val="000000"/>
        </w:rPr>
        <w:t>₹1,999/month is the current Claude Pro India App Store listing used as a planning benchmark. Anthropic states that Pro pricing varies by region and billing period; organizational Team/Enterprise pricing is separate. Apple India lists the M5 Pro Mac mini with up to 64GB unified memory; current 64GB/1TB pricing is ₹3,38,300. These figures should be refreshed before procurement.</w:t>
      </w:r>
    </w:p>
    <w:sectPr w:rsidR="00D406D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2567495">
    <w:abstractNumId w:val="8"/>
  </w:num>
  <w:num w:numId="2" w16cid:durableId="1952203071">
    <w:abstractNumId w:val="6"/>
  </w:num>
  <w:num w:numId="3" w16cid:durableId="128863414">
    <w:abstractNumId w:val="5"/>
  </w:num>
  <w:num w:numId="4" w16cid:durableId="681905054">
    <w:abstractNumId w:val="4"/>
  </w:num>
  <w:num w:numId="5" w16cid:durableId="1950235047">
    <w:abstractNumId w:val="7"/>
  </w:num>
  <w:num w:numId="6" w16cid:durableId="1827895497">
    <w:abstractNumId w:val="3"/>
  </w:num>
  <w:num w:numId="7" w16cid:durableId="1428578316">
    <w:abstractNumId w:val="2"/>
  </w:num>
  <w:num w:numId="8" w16cid:durableId="1225096617">
    <w:abstractNumId w:val="1"/>
  </w:num>
  <w:num w:numId="9" w16cid:durableId="2067534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E61"/>
    <w:rsid w:val="0015074B"/>
    <w:rsid w:val="0029639D"/>
    <w:rsid w:val="00326F90"/>
    <w:rsid w:val="00AA1D8D"/>
    <w:rsid w:val="00B47730"/>
    <w:rsid w:val="00B63041"/>
    <w:rsid w:val="00CB0664"/>
    <w:rsid w:val="00D406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A5AAB"/>
  <w14:defaultImageDpi w14:val="300"/>
  <w15:docId w15:val="{7EE5788E-AE33-8446-9591-0839F078E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1627</Words>
  <Characters>9275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Subhojit Ghosh</cp:lastModifiedBy>
  <cp:revision>2</cp:revision>
  <dcterms:created xsi:type="dcterms:W3CDTF">2013-12-23T23:15:00Z</dcterms:created>
  <dcterms:modified xsi:type="dcterms:W3CDTF">2026-09-28T08:43:00Z</dcterms:modified>
  <cp:category/>
</cp:coreProperties>
</file>