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rial" w:hAnsi="Arial"/>
          <w:b/>
          <w:color w:val="000000"/>
        </w:rPr>
        <w:t>GPU Options for the AI Lab</w:t>
      </w:r>
    </w:p>
    <w:p>
      <w:pPr>
        <w:jc w:val="center"/>
      </w:pPr>
      <w:r>
        <w:rPr>
          <w:rFonts w:ascii="Arial" w:hAnsi="Arial"/>
          <w:b/>
          <w:color w:val="000000"/>
        </w:rPr>
        <w:t>Qwen3_6-35B-A3B (4-bit) + Gemma-4-26B-A4B-it-MXFP4</w:t>
      </w:r>
    </w:p>
    <w:p>
      <w:pPr>
        <w:pStyle w:val="Heading1"/>
      </w:pPr>
      <w:r>
        <w:rPr>
          <w:rFonts w:ascii="Arial" w:hAnsi="Arial"/>
          <w:color w:val="000000"/>
        </w:rPr>
        <w:t>1. Model Requirements</w:t>
      </w:r>
    </w:p>
    <w:p>
      <w:r>
        <w:rPr>
          <w:rFonts w:ascii="Arial" w:hAnsi="Arial"/>
          <w:b w:val="0"/>
          <w:color w:val="000000"/>
          <w:sz w:val="18"/>
        </w:rPr>
      </w:r>
      <w:r>
        <w:rPr>
          <w:rFonts w:ascii="Arial" w:hAnsi="Arial"/>
          <w:b/>
          <w:color w:val="000000"/>
        </w:rPr>
        <w:t xml:space="preserve">Qwen3_6-35B-A3B-4bit: </w:t>
      </w:r>
      <w:r>
        <w:rPr>
          <w:rFonts w:ascii="Arial" w:hAnsi="Arial"/>
          <w:color w:val="000000"/>
        </w:rPr>
        <w:t>~20–22 GB estimated model memory; primary deep-coding/reasoning model in the supplied report.</w:t>
      </w:r>
    </w:p>
    <w:p>
      <w:r>
        <w:rPr>
          <w:rFonts w:ascii="Arial" w:hAnsi="Arial"/>
          <w:b w:val="0"/>
          <w:color w:val="000000"/>
          <w:sz w:val="18"/>
        </w:rPr>
      </w:r>
      <w:r>
        <w:rPr>
          <w:rFonts w:ascii="Arial" w:hAnsi="Arial"/>
          <w:b/>
          <w:color w:val="000000"/>
        </w:rPr>
        <w:t xml:space="preserve">Gemma-4-26B-A4B-it-MXFP4: </w:t>
      </w:r>
      <w:r>
        <w:rPr>
          <w:rFonts w:ascii="Arial" w:hAnsi="Arial"/>
          <w:color w:val="000000"/>
        </w:rPr>
        <w:t>~15–17 GB estimated model memory; low-latency model in the supplied report.</w:t>
      </w:r>
    </w:p>
    <w:p>
      <w:r>
        <w:rPr>
          <w:rFonts w:ascii="Arial" w:hAnsi="Arial"/>
          <w:b w:val="0"/>
          <w:color w:val="000000"/>
          <w:sz w:val="18"/>
        </w:rPr>
      </w:r>
      <w:r>
        <w:rPr>
          <w:rFonts w:ascii="Arial" w:hAnsi="Arial"/>
          <w:b/>
          <w:color w:val="000000"/>
        </w:rPr>
        <w:t xml:space="preserve">Planning: </w:t>
      </w:r>
      <w:r>
        <w:rPr>
          <w:rFonts w:ascii="Arial" w:hAnsi="Arial"/>
          <w:color w:val="000000"/>
        </w:rPr>
        <w:t>48 GB+ is preferable for context, KV cache and multi-user serving; 80–96 GB+ gives substantially more headroom. This is an infrastructure planning conclusion, not a GPU benchmark.</w:t>
      </w:r>
    </w:p>
    <w:p>
      <w:pPr>
        <w:pStyle w:val="Heading1"/>
      </w:pPr>
      <w:r>
        <w:rPr>
          <w:rFonts w:ascii="Arial" w:hAnsi="Arial"/>
          <w:color w:val="000000"/>
        </w:rPr>
        <w:t>2. GPU Comparison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02"/>
        <w:gridCol w:w="1502"/>
        <w:gridCol w:w="1502"/>
        <w:gridCol w:w="1502"/>
        <w:gridCol w:w="1502"/>
        <w:gridCol w:w="1502"/>
        <w:gridCol w:w="1502"/>
      </w:tblGrid>
      <w:tr>
        <w:tc>
          <w:tcPr>
            <w:tcW w:type="dxa" w:w="1502"/>
          </w:tcPr>
          <w:p>
            <w:r>
              <w:rPr>
                <w:rFonts w:ascii="Arial" w:hAnsi="Arial"/>
                <w:b/>
                <w:color w:val="000000"/>
                <w:sz w:val="15"/>
              </w:rPr>
              <w:t>GPU</w:t>
            </w:r>
          </w:p>
        </w:tc>
        <w:tc>
          <w:tcPr>
            <w:tcW w:type="dxa" w:w="1502"/>
          </w:tcPr>
          <w:p>
            <w:r>
              <w:rPr>
                <w:rFonts w:ascii="Arial" w:hAnsi="Arial"/>
                <w:b/>
                <w:color w:val="000000"/>
                <w:sz w:val="15"/>
              </w:rPr>
              <w:t>VRAM</w:t>
            </w:r>
          </w:p>
        </w:tc>
        <w:tc>
          <w:tcPr>
            <w:tcW w:type="dxa" w:w="1502"/>
          </w:tcPr>
          <w:p>
            <w:r>
              <w:rPr>
                <w:rFonts w:ascii="Arial" w:hAnsi="Arial"/>
                <w:b/>
                <w:color w:val="000000"/>
                <w:sz w:val="15"/>
              </w:rPr>
              <w:t>Bandwidth</w:t>
            </w:r>
          </w:p>
        </w:tc>
        <w:tc>
          <w:tcPr>
            <w:tcW w:type="dxa" w:w="1502"/>
          </w:tcPr>
          <w:p>
            <w:r>
              <w:rPr>
                <w:rFonts w:ascii="Arial" w:hAnsi="Arial"/>
                <w:b/>
                <w:color w:val="000000"/>
                <w:sz w:val="15"/>
              </w:rPr>
              <w:t>Qwen 35B</w:t>
            </w:r>
          </w:p>
        </w:tc>
        <w:tc>
          <w:tcPr>
            <w:tcW w:type="dxa" w:w="1502"/>
          </w:tcPr>
          <w:p>
            <w:r>
              <w:rPr>
                <w:rFonts w:ascii="Arial" w:hAnsi="Arial"/>
                <w:b/>
                <w:color w:val="000000"/>
                <w:sz w:val="15"/>
              </w:rPr>
              <w:t>Gemma 26B</w:t>
            </w:r>
          </w:p>
        </w:tc>
        <w:tc>
          <w:tcPr>
            <w:tcW w:type="dxa" w:w="1502"/>
          </w:tcPr>
          <w:p>
            <w:r>
              <w:rPr>
                <w:rFonts w:ascii="Arial" w:hAnsi="Arial"/>
                <w:b/>
                <w:color w:val="000000"/>
                <w:sz w:val="15"/>
              </w:rPr>
              <w:t>Why use</w:t>
            </w:r>
          </w:p>
        </w:tc>
        <w:tc>
          <w:tcPr>
            <w:tcW w:type="dxa" w:w="1502"/>
          </w:tcPr>
          <w:p>
            <w:r>
              <w:rPr>
                <w:rFonts w:ascii="Arial" w:hAnsi="Arial"/>
                <w:b/>
                <w:color w:val="000000"/>
                <w:sz w:val="15"/>
              </w:rPr>
              <w:t>Why not</w:t>
            </w:r>
          </w:p>
        </w:tc>
      </w:tr>
      <w:tr>
        <w:tc>
          <w:tcPr>
            <w:tcW w:type="dxa" w:w="1502"/>
          </w:tcPr>
          <w:p>
            <w:r>
              <w:rPr>
                <w:rFonts w:ascii="Arial" w:hAnsi="Arial"/>
                <w:b w:val="0"/>
                <w:color w:val="000000"/>
                <w:sz w:val="15"/>
              </w:rPr>
              <w:t>RTX A6000</w:t>
            </w:r>
          </w:p>
        </w:tc>
        <w:tc>
          <w:tcPr>
            <w:tcW w:type="dxa" w:w="1502"/>
          </w:tcPr>
          <w:p>
            <w:r>
              <w:rPr>
                <w:rFonts w:ascii="Arial" w:hAnsi="Arial"/>
                <w:b w:val="0"/>
                <w:color w:val="000000"/>
                <w:sz w:val="15"/>
              </w:rPr>
              <w:t>48 GB</w:t>
            </w:r>
          </w:p>
        </w:tc>
        <w:tc>
          <w:tcPr>
            <w:tcW w:type="dxa" w:w="1502"/>
          </w:tcPr>
          <w:p>
            <w:r>
              <w:rPr>
                <w:rFonts w:ascii="Arial" w:hAnsi="Arial"/>
                <w:b w:val="0"/>
                <w:color w:val="000000"/>
                <w:sz w:val="15"/>
              </w:rPr>
              <w:t>~768 GB/s</w:t>
            </w:r>
          </w:p>
        </w:tc>
        <w:tc>
          <w:tcPr>
            <w:tcW w:type="dxa" w:w="1502"/>
          </w:tcPr>
          <w:p>
            <w:r>
              <w:rPr>
                <w:rFonts w:ascii="Arial" w:hAnsi="Arial"/>
                <w:b w:val="0"/>
                <w:color w:val="000000"/>
                <w:sz w:val="15"/>
              </w:rPr>
              <w:t>Yes</w:t>
            </w:r>
          </w:p>
        </w:tc>
        <w:tc>
          <w:tcPr>
            <w:tcW w:type="dxa" w:w="1502"/>
          </w:tcPr>
          <w:p>
            <w:r>
              <w:rPr>
                <w:rFonts w:ascii="Arial" w:hAnsi="Arial"/>
                <w:b w:val="0"/>
                <w:color w:val="000000"/>
                <w:sz w:val="15"/>
              </w:rPr>
              <w:t>Yes</w:t>
            </w:r>
          </w:p>
        </w:tc>
        <w:tc>
          <w:tcPr>
            <w:tcW w:type="dxa" w:w="1502"/>
          </w:tcPr>
          <w:p>
            <w:r>
              <w:rPr>
                <w:rFonts w:ascii="Arial" w:hAnsi="Arial"/>
                <w:b w:val="0"/>
                <w:color w:val="000000"/>
                <w:sz w:val="15"/>
              </w:rPr>
              <w:t>48 GB workstation GPU; practical for a single-node lab</w:t>
            </w:r>
          </w:p>
        </w:tc>
        <w:tc>
          <w:tcPr>
            <w:tcW w:type="dxa" w:w="1502"/>
          </w:tcPr>
          <w:p>
            <w:r>
              <w:rPr>
                <w:rFonts w:ascii="Arial" w:hAnsi="Arial"/>
                <w:b w:val="0"/>
                <w:color w:val="000000"/>
                <w:sz w:val="15"/>
              </w:rPr>
              <w:t>Older Ampere; less capable than newer L40S/Blackwell</w:t>
            </w:r>
          </w:p>
        </w:tc>
      </w:tr>
      <w:tr>
        <w:tc>
          <w:tcPr>
            <w:tcW w:type="dxa" w:w="1502"/>
          </w:tcPr>
          <w:p>
            <w:r>
              <w:rPr>
                <w:rFonts w:ascii="Arial" w:hAnsi="Arial"/>
                <w:b w:val="0"/>
                <w:color w:val="000000"/>
                <w:sz w:val="15"/>
              </w:rPr>
              <w:t>A40</w:t>
            </w:r>
          </w:p>
        </w:tc>
        <w:tc>
          <w:tcPr>
            <w:tcW w:type="dxa" w:w="1502"/>
          </w:tcPr>
          <w:p>
            <w:r>
              <w:rPr>
                <w:rFonts w:ascii="Arial" w:hAnsi="Arial"/>
                <w:b w:val="0"/>
                <w:color w:val="000000"/>
                <w:sz w:val="15"/>
              </w:rPr>
              <w:t>48 GB</w:t>
            </w:r>
          </w:p>
        </w:tc>
        <w:tc>
          <w:tcPr>
            <w:tcW w:type="dxa" w:w="1502"/>
          </w:tcPr>
          <w:p>
            <w:r>
              <w:rPr>
                <w:rFonts w:ascii="Arial" w:hAnsi="Arial"/>
                <w:b w:val="0"/>
                <w:color w:val="000000"/>
                <w:sz w:val="15"/>
              </w:rPr>
              <w:t>696 GB/s</w:t>
            </w:r>
          </w:p>
        </w:tc>
        <w:tc>
          <w:tcPr>
            <w:tcW w:type="dxa" w:w="1502"/>
          </w:tcPr>
          <w:p>
            <w:r>
              <w:rPr>
                <w:rFonts w:ascii="Arial" w:hAnsi="Arial"/>
                <w:b w:val="0"/>
                <w:color w:val="000000"/>
                <w:sz w:val="15"/>
              </w:rPr>
              <w:t>Yes</w:t>
            </w:r>
          </w:p>
        </w:tc>
        <w:tc>
          <w:tcPr>
            <w:tcW w:type="dxa" w:w="1502"/>
          </w:tcPr>
          <w:p>
            <w:r>
              <w:rPr>
                <w:rFonts w:ascii="Arial" w:hAnsi="Arial"/>
                <w:b w:val="0"/>
                <w:color w:val="000000"/>
                <w:sz w:val="15"/>
              </w:rPr>
              <w:t>Yes</w:t>
            </w:r>
          </w:p>
        </w:tc>
        <w:tc>
          <w:tcPr>
            <w:tcW w:type="dxa" w:w="1502"/>
          </w:tcPr>
          <w:p>
            <w:r>
              <w:rPr>
                <w:rFonts w:ascii="Arial" w:hAnsi="Arial"/>
                <w:b w:val="0"/>
                <w:color w:val="000000"/>
                <w:sz w:val="15"/>
              </w:rPr>
              <w:t>Data-center Ampere; ECC; NVLink; possible budget option</w:t>
            </w:r>
          </w:p>
        </w:tc>
        <w:tc>
          <w:tcPr>
            <w:tcW w:type="dxa" w:w="1502"/>
          </w:tcPr>
          <w:p>
            <w:r>
              <w:rPr>
                <w:rFonts w:ascii="Arial" w:hAnsi="Arial"/>
                <w:b w:val="0"/>
                <w:color w:val="000000"/>
                <w:sz w:val="15"/>
              </w:rPr>
              <w:t>Older; no MIG; passive cooling</w:t>
            </w:r>
          </w:p>
        </w:tc>
      </w:tr>
      <w:tr>
        <w:tc>
          <w:tcPr>
            <w:tcW w:type="dxa" w:w="1502"/>
          </w:tcPr>
          <w:p>
            <w:r>
              <w:rPr>
                <w:rFonts w:ascii="Arial" w:hAnsi="Arial"/>
                <w:b w:val="0"/>
                <w:color w:val="000000"/>
                <w:sz w:val="15"/>
              </w:rPr>
              <w:t>L40S</w:t>
            </w:r>
          </w:p>
        </w:tc>
        <w:tc>
          <w:tcPr>
            <w:tcW w:type="dxa" w:w="1502"/>
          </w:tcPr>
          <w:p>
            <w:r>
              <w:rPr>
                <w:rFonts w:ascii="Arial" w:hAnsi="Arial"/>
                <w:b w:val="0"/>
                <w:color w:val="000000"/>
                <w:sz w:val="15"/>
              </w:rPr>
              <w:t>48 GB</w:t>
            </w:r>
          </w:p>
        </w:tc>
        <w:tc>
          <w:tcPr>
            <w:tcW w:type="dxa" w:w="1502"/>
          </w:tcPr>
          <w:p>
            <w:r>
              <w:rPr>
                <w:rFonts w:ascii="Arial" w:hAnsi="Arial"/>
                <w:b w:val="0"/>
                <w:color w:val="000000"/>
                <w:sz w:val="15"/>
              </w:rPr>
              <w:t>864 GB/s</w:t>
            </w:r>
          </w:p>
        </w:tc>
        <w:tc>
          <w:tcPr>
            <w:tcW w:type="dxa" w:w="1502"/>
          </w:tcPr>
          <w:p>
            <w:r>
              <w:rPr>
                <w:rFonts w:ascii="Arial" w:hAnsi="Arial"/>
                <w:b w:val="0"/>
                <w:color w:val="000000"/>
                <w:sz w:val="15"/>
              </w:rPr>
              <w:t>Yes; strong fit</w:t>
            </w:r>
          </w:p>
        </w:tc>
        <w:tc>
          <w:tcPr>
            <w:tcW w:type="dxa" w:w="1502"/>
          </w:tcPr>
          <w:p>
            <w:r>
              <w:rPr>
                <w:rFonts w:ascii="Arial" w:hAnsi="Arial"/>
                <w:b w:val="0"/>
                <w:color w:val="000000"/>
                <w:sz w:val="15"/>
              </w:rPr>
              <w:t>Yes; strong fit</w:t>
            </w:r>
          </w:p>
        </w:tc>
        <w:tc>
          <w:tcPr>
            <w:tcW w:type="dxa" w:w="1502"/>
          </w:tcPr>
          <w:p>
            <w:r>
              <w:rPr>
                <w:rFonts w:ascii="Arial" w:hAnsi="Arial"/>
                <w:b w:val="0"/>
                <w:color w:val="000000"/>
                <w:sz w:val="15"/>
              </w:rPr>
              <w:t>Modern Ada; strong inference balance; 48 GB</w:t>
            </w:r>
          </w:p>
        </w:tc>
        <w:tc>
          <w:tcPr>
            <w:tcW w:type="dxa" w:w="1502"/>
          </w:tcPr>
          <w:p>
            <w:r>
              <w:rPr>
                <w:rFonts w:ascii="Arial" w:hAnsi="Arial"/>
                <w:b w:val="0"/>
                <w:color w:val="000000"/>
                <w:sz w:val="15"/>
              </w:rPr>
              <w:t>48 GB ceiling; no NVLink/MIG</w:t>
            </w:r>
          </w:p>
        </w:tc>
      </w:tr>
      <w:tr>
        <w:tc>
          <w:tcPr>
            <w:tcW w:type="dxa" w:w="1502"/>
          </w:tcPr>
          <w:p>
            <w:r>
              <w:rPr>
                <w:rFonts w:ascii="Arial" w:hAnsi="Arial"/>
                <w:b w:val="0"/>
                <w:color w:val="000000"/>
                <w:sz w:val="15"/>
              </w:rPr>
              <w:t>A100 80GB</w:t>
            </w:r>
          </w:p>
        </w:tc>
        <w:tc>
          <w:tcPr>
            <w:tcW w:type="dxa" w:w="1502"/>
          </w:tcPr>
          <w:p>
            <w:r>
              <w:rPr>
                <w:rFonts w:ascii="Arial" w:hAnsi="Arial"/>
                <w:b w:val="0"/>
                <w:color w:val="000000"/>
                <w:sz w:val="15"/>
              </w:rPr>
              <w:t>80 GB</w:t>
            </w:r>
          </w:p>
        </w:tc>
        <w:tc>
          <w:tcPr>
            <w:tcW w:type="dxa" w:w="1502"/>
          </w:tcPr>
          <w:p>
            <w:r>
              <w:rPr>
                <w:rFonts w:ascii="Arial" w:hAnsi="Arial"/>
                <w:b w:val="0"/>
                <w:color w:val="000000"/>
                <w:sz w:val="15"/>
              </w:rPr>
              <w:t>1.94–2.04 TB/s</w:t>
            </w:r>
          </w:p>
        </w:tc>
        <w:tc>
          <w:tcPr>
            <w:tcW w:type="dxa" w:w="1502"/>
          </w:tcPr>
          <w:p>
            <w:r>
              <w:rPr>
                <w:rFonts w:ascii="Arial" w:hAnsi="Arial"/>
                <w:b w:val="0"/>
                <w:color w:val="000000"/>
                <w:sz w:val="15"/>
              </w:rPr>
              <w:t>Yes; excellent</w:t>
            </w:r>
          </w:p>
        </w:tc>
        <w:tc>
          <w:tcPr>
            <w:tcW w:type="dxa" w:w="1502"/>
          </w:tcPr>
          <w:p>
            <w:r>
              <w:rPr>
                <w:rFonts w:ascii="Arial" w:hAnsi="Arial"/>
                <w:b w:val="0"/>
                <w:color w:val="000000"/>
                <w:sz w:val="15"/>
              </w:rPr>
              <w:t>Yes; excellent</w:t>
            </w:r>
          </w:p>
        </w:tc>
        <w:tc>
          <w:tcPr>
            <w:tcW w:type="dxa" w:w="1502"/>
          </w:tcPr>
          <w:p>
            <w:r>
              <w:rPr>
                <w:rFonts w:ascii="Arial" w:hAnsi="Arial"/>
                <w:b w:val="0"/>
                <w:color w:val="000000"/>
                <w:sz w:val="15"/>
              </w:rPr>
              <w:t>80 GB HBM2e; high bandwidth; MIG up to 7</w:t>
            </w:r>
          </w:p>
        </w:tc>
        <w:tc>
          <w:tcPr>
            <w:tcW w:type="dxa" w:w="1502"/>
          </w:tcPr>
          <w:p>
            <w:r>
              <w:rPr>
                <w:rFonts w:ascii="Arial" w:hAnsi="Arial"/>
                <w:b w:val="0"/>
                <w:color w:val="000000"/>
                <w:sz w:val="15"/>
              </w:rPr>
              <w:t>Older generation; higher cost</w:t>
            </w:r>
          </w:p>
        </w:tc>
      </w:tr>
      <w:tr>
        <w:tc>
          <w:tcPr>
            <w:tcW w:type="dxa" w:w="1502"/>
          </w:tcPr>
          <w:p>
            <w:r>
              <w:rPr>
                <w:rFonts w:ascii="Arial" w:hAnsi="Arial"/>
                <w:b w:val="0"/>
                <w:color w:val="000000"/>
                <w:sz w:val="15"/>
              </w:rPr>
              <w:t>H100 80GB</w:t>
            </w:r>
          </w:p>
        </w:tc>
        <w:tc>
          <w:tcPr>
            <w:tcW w:type="dxa" w:w="1502"/>
          </w:tcPr>
          <w:p>
            <w:r>
              <w:rPr>
                <w:rFonts w:ascii="Arial" w:hAnsi="Arial"/>
                <w:b w:val="0"/>
                <w:color w:val="000000"/>
                <w:sz w:val="15"/>
              </w:rPr>
              <w:t>80 GB</w:t>
            </w:r>
          </w:p>
        </w:tc>
        <w:tc>
          <w:tcPr>
            <w:tcW w:type="dxa" w:w="1502"/>
          </w:tcPr>
          <w:p>
            <w:r>
              <w:rPr>
                <w:rFonts w:ascii="Arial" w:hAnsi="Arial"/>
                <w:b w:val="0"/>
                <w:color w:val="000000"/>
                <w:sz w:val="15"/>
              </w:rPr>
              <w:t>3.35 TB/s (SXM)</w:t>
            </w:r>
          </w:p>
        </w:tc>
        <w:tc>
          <w:tcPr>
            <w:tcW w:type="dxa" w:w="1502"/>
          </w:tcPr>
          <w:p>
            <w:r>
              <w:rPr>
                <w:rFonts w:ascii="Arial" w:hAnsi="Arial"/>
                <w:b w:val="0"/>
                <w:color w:val="000000"/>
                <w:sz w:val="15"/>
              </w:rPr>
              <w:t>Yes; excellent</w:t>
            </w:r>
          </w:p>
        </w:tc>
        <w:tc>
          <w:tcPr>
            <w:tcW w:type="dxa" w:w="1502"/>
          </w:tcPr>
          <w:p>
            <w:r>
              <w:rPr>
                <w:rFonts w:ascii="Arial" w:hAnsi="Arial"/>
                <w:b w:val="0"/>
                <w:color w:val="000000"/>
                <w:sz w:val="15"/>
              </w:rPr>
              <w:t>Yes; excellent</w:t>
            </w:r>
          </w:p>
        </w:tc>
        <w:tc>
          <w:tcPr>
            <w:tcW w:type="dxa" w:w="1502"/>
          </w:tcPr>
          <w:p>
            <w:r>
              <w:rPr>
                <w:rFonts w:ascii="Arial" w:hAnsi="Arial"/>
                <w:b w:val="0"/>
                <w:color w:val="000000"/>
                <w:sz w:val="15"/>
              </w:rPr>
              <w:t>Very high performance; mature CUDA; MIG</w:t>
            </w:r>
          </w:p>
        </w:tc>
        <w:tc>
          <w:tcPr>
            <w:tcW w:type="dxa" w:w="1502"/>
          </w:tcPr>
          <w:p>
            <w:r>
              <w:rPr>
                <w:rFonts w:ascii="Arial" w:hAnsi="Arial"/>
                <w:b w:val="0"/>
                <w:color w:val="000000"/>
                <w:sz w:val="15"/>
              </w:rPr>
              <w:t>Very high power/cost; likely overkill for 35B inference</w:t>
            </w:r>
          </w:p>
        </w:tc>
      </w:tr>
      <w:tr>
        <w:tc>
          <w:tcPr>
            <w:tcW w:type="dxa" w:w="1502"/>
          </w:tcPr>
          <w:p>
            <w:r>
              <w:rPr>
                <w:rFonts w:ascii="Arial" w:hAnsi="Arial"/>
                <w:b w:val="0"/>
                <w:color w:val="000000"/>
                <w:sz w:val="15"/>
              </w:rPr>
              <w:t>RTX PRO 6000 Blackwell</w:t>
            </w:r>
          </w:p>
        </w:tc>
        <w:tc>
          <w:tcPr>
            <w:tcW w:type="dxa" w:w="1502"/>
          </w:tcPr>
          <w:p>
            <w:r>
              <w:rPr>
                <w:rFonts w:ascii="Arial" w:hAnsi="Arial"/>
                <w:b w:val="0"/>
                <w:color w:val="000000"/>
                <w:sz w:val="15"/>
              </w:rPr>
              <w:t>96 GB</w:t>
            </w:r>
          </w:p>
        </w:tc>
        <w:tc>
          <w:tcPr>
            <w:tcW w:type="dxa" w:w="1502"/>
          </w:tcPr>
          <w:p>
            <w:r>
              <w:rPr>
                <w:rFonts w:ascii="Arial" w:hAnsi="Arial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1502"/>
          </w:tcPr>
          <w:p>
            <w:r>
              <w:rPr>
                <w:rFonts w:ascii="Arial" w:hAnsi="Arial"/>
                <w:b w:val="0"/>
                <w:color w:val="000000"/>
                <w:sz w:val="15"/>
              </w:rPr>
              <w:t>Yes; excellent</w:t>
            </w:r>
          </w:p>
        </w:tc>
        <w:tc>
          <w:tcPr>
            <w:tcW w:type="dxa" w:w="1502"/>
          </w:tcPr>
          <w:p>
            <w:r>
              <w:rPr>
                <w:rFonts w:ascii="Arial" w:hAnsi="Arial"/>
                <w:b w:val="0"/>
                <w:color w:val="000000"/>
                <w:sz w:val="15"/>
              </w:rPr>
              <w:t>Yes; excellent</w:t>
            </w:r>
          </w:p>
        </w:tc>
        <w:tc>
          <w:tcPr>
            <w:tcW w:type="dxa" w:w="1502"/>
          </w:tcPr>
          <w:p>
            <w:r>
              <w:rPr>
                <w:rFonts w:ascii="Arial" w:hAnsi="Arial"/>
                <w:b w:val="0"/>
                <w:color w:val="000000"/>
                <w:sz w:val="15"/>
              </w:rPr>
              <w:t>96 GB GDDR7 ECC; current Blackwell</w:t>
            </w:r>
          </w:p>
        </w:tc>
        <w:tc>
          <w:tcPr>
            <w:tcW w:type="dxa" w:w="1502"/>
          </w:tcPr>
          <w:p>
            <w:r>
              <w:rPr>
                <w:rFonts w:ascii="Arial" w:hAnsi="Arial"/>
                <w:b w:val="0"/>
                <w:color w:val="000000"/>
                <w:sz w:val="15"/>
              </w:rPr>
              <w:t>Premium cost; high power</w:t>
            </w:r>
          </w:p>
        </w:tc>
      </w:tr>
      <w:tr>
        <w:tc>
          <w:tcPr>
            <w:tcW w:type="dxa" w:w="1502"/>
          </w:tcPr>
          <w:p>
            <w:r>
              <w:rPr>
                <w:rFonts w:ascii="Arial" w:hAnsi="Arial"/>
                <w:b w:val="0"/>
                <w:color w:val="000000"/>
                <w:sz w:val="15"/>
              </w:rPr>
              <w:t>AMD MI300X</w:t>
            </w:r>
          </w:p>
        </w:tc>
        <w:tc>
          <w:tcPr>
            <w:tcW w:type="dxa" w:w="1502"/>
          </w:tcPr>
          <w:p>
            <w:r>
              <w:rPr>
                <w:rFonts w:ascii="Arial" w:hAnsi="Arial"/>
                <w:b w:val="0"/>
                <w:color w:val="000000"/>
                <w:sz w:val="15"/>
              </w:rPr>
              <w:t>192 GB</w:t>
            </w:r>
          </w:p>
        </w:tc>
        <w:tc>
          <w:tcPr>
            <w:tcW w:type="dxa" w:w="1502"/>
          </w:tcPr>
          <w:p>
            <w:r>
              <w:rPr>
                <w:rFonts w:ascii="Arial" w:hAnsi="Arial"/>
                <w:b w:val="0"/>
                <w:color w:val="000000"/>
                <w:sz w:val="15"/>
              </w:rPr>
              <w:t>5.3 TB/s</w:t>
            </w:r>
          </w:p>
        </w:tc>
        <w:tc>
          <w:tcPr>
            <w:tcW w:type="dxa" w:w="1502"/>
          </w:tcPr>
          <w:p>
            <w:r>
              <w:rPr>
                <w:rFonts w:ascii="Arial" w:hAnsi="Arial"/>
                <w:b w:val="0"/>
                <w:color w:val="000000"/>
                <w:sz w:val="15"/>
              </w:rPr>
              <w:t>Yes; huge headroom</w:t>
            </w:r>
          </w:p>
        </w:tc>
        <w:tc>
          <w:tcPr>
            <w:tcW w:type="dxa" w:w="1502"/>
          </w:tcPr>
          <w:p>
            <w:r>
              <w:rPr>
                <w:rFonts w:ascii="Arial" w:hAnsi="Arial"/>
                <w:b w:val="0"/>
                <w:color w:val="000000"/>
                <w:sz w:val="15"/>
              </w:rPr>
              <w:t>Yes; huge headroom</w:t>
            </w:r>
          </w:p>
        </w:tc>
        <w:tc>
          <w:tcPr>
            <w:tcW w:type="dxa" w:w="1502"/>
          </w:tcPr>
          <w:p>
            <w:r>
              <w:rPr>
                <w:rFonts w:ascii="Arial" w:hAnsi="Arial"/>
                <w:b w:val="0"/>
                <w:color w:val="000000"/>
                <w:sz w:val="15"/>
              </w:rPr>
              <w:t>192 GB HBM3; exceptional bandwidth; GenAI/HPC</w:t>
            </w:r>
          </w:p>
        </w:tc>
        <w:tc>
          <w:tcPr>
            <w:tcW w:type="dxa" w:w="1502"/>
          </w:tcPr>
          <w:p>
            <w:r>
              <w:rPr>
                <w:rFonts w:ascii="Arial" w:hAnsi="Arial"/>
                <w:b w:val="0"/>
                <w:color w:val="000000"/>
                <w:sz w:val="15"/>
              </w:rPr>
              <w:t>750W OAM server accelerator; ROCm/platform complexity</w:t>
            </w:r>
          </w:p>
        </w:tc>
      </w:tr>
    </w:tbl>
    <w:p>
      <w:pPr>
        <w:pStyle w:val="Heading1"/>
      </w:pPr>
      <w:r>
        <w:rPr>
          <w:rFonts w:ascii="Arial" w:hAnsi="Arial"/>
          <w:color w:val="000000"/>
        </w:rPr>
        <w:t>3. Brief Assessment</w:t>
      </w:r>
    </w:p>
    <w:p>
      <w:pPr>
        <w:pStyle w:val="ListBullet"/>
      </w:pPr>
      <w:r>
        <w:rPr>
          <w:rFonts w:ascii="Arial" w:hAnsi="Arial"/>
          <w:b/>
          <w:color w:val="000000"/>
        </w:rPr>
        <w:t xml:space="preserve">RTX A6000 — </w:t>
      </w:r>
      <w:r>
        <w:rPr>
          <w:rFonts w:ascii="Arial" w:hAnsi="Arial"/>
          <w:color w:val="000000"/>
        </w:rPr>
        <w:t>Good workstation/lab option when 48 GB is sufficient.</w:t>
      </w:r>
    </w:p>
    <w:p>
      <w:pPr>
        <w:pStyle w:val="ListBullet"/>
      </w:pPr>
      <w:r>
        <w:rPr>
          <w:rFonts w:ascii="Arial" w:hAnsi="Arial"/>
          <w:b/>
          <w:color w:val="000000"/>
        </w:rPr>
        <w:t xml:space="preserve">A40 — </w:t>
      </w:r>
      <w:r>
        <w:rPr>
          <w:rFonts w:ascii="Arial" w:hAnsi="Arial"/>
          <w:color w:val="000000"/>
        </w:rPr>
        <w:t>Budget-oriented data-center option, especially when acquisition cost is attractive.</w:t>
      </w:r>
    </w:p>
    <w:p>
      <w:pPr>
        <w:pStyle w:val="ListBullet"/>
      </w:pPr>
      <w:r>
        <w:rPr>
          <w:rFonts w:ascii="Arial" w:hAnsi="Arial"/>
          <w:b/>
          <w:color w:val="000000"/>
        </w:rPr>
        <w:t xml:space="preserve">L40S — </w:t>
      </w:r>
      <w:r>
        <w:rPr>
          <w:rFonts w:ascii="Arial" w:hAnsi="Arial"/>
          <w:color w:val="000000"/>
        </w:rPr>
        <w:t>Strong candidate for the first shared-inference node: modern, 48 GB, and relatively straightforward NVIDIA deployment.</w:t>
      </w:r>
    </w:p>
    <w:p>
      <w:pPr>
        <w:pStyle w:val="ListBullet"/>
      </w:pPr>
      <w:r>
        <w:rPr>
          <w:rFonts w:ascii="Arial" w:hAnsi="Arial"/>
          <w:b/>
          <w:color w:val="000000"/>
        </w:rPr>
        <w:t xml:space="preserve">A100 80GB — </w:t>
      </w:r>
      <w:r>
        <w:rPr>
          <w:rFonts w:ascii="Arial" w:hAnsi="Arial"/>
          <w:color w:val="000000"/>
        </w:rPr>
        <w:t>Strong shared-server choice when context, concurrency or multiple models justify 80 GB.</w:t>
      </w:r>
    </w:p>
    <w:p>
      <w:pPr>
        <w:pStyle w:val="ListBullet"/>
      </w:pPr>
      <w:r>
        <w:rPr>
          <w:rFonts w:ascii="Arial" w:hAnsi="Arial"/>
          <w:b/>
          <w:color w:val="000000"/>
        </w:rPr>
        <w:t xml:space="preserve">H100 80GB — </w:t>
      </w:r>
      <w:r>
        <w:rPr>
          <w:rFonts w:ascii="Arial" w:hAnsi="Arial"/>
          <w:color w:val="000000"/>
        </w:rPr>
        <w:t>Performance-first option; difficult to justify as the first GPU when minimizing initial cost.</w:t>
      </w:r>
    </w:p>
    <w:p>
      <w:pPr>
        <w:pStyle w:val="ListBullet"/>
      </w:pPr>
      <w:r>
        <w:rPr>
          <w:rFonts w:ascii="Arial" w:hAnsi="Arial"/>
          <w:b/>
          <w:color w:val="000000"/>
        </w:rPr>
        <w:t xml:space="preserve">RTX PRO 6000 Blackwell — </w:t>
      </w:r>
      <w:r>
        <w:rPr>
          <w:rFonts w:ascii="Arial" w:hAnsi="Arial"/>
          <w:color w:val="000000"/>
        </w:rPr>
        <w:t>Modern 96 GB NVIDIA option when high memory and Blackwell are worth the premium.</w:t>
      </w:r>
    </w:p>
    <w:p>
      <w:pPr>
        <w:pStyle w:val="ListBullet"/>
      </w:pPr>
      <w:r>
        <w:rPr>
          <w:rFonts w:ascii="Arial" w:hAnsi="Arial"/>
          <w:b/>
          <w:color w:val="000000"/>
        </w:rPr>
        <w:t xml:space="preserve">MI300X — </w:t>
      </w:r>
      <w:r>
        <w:rPr>
          <w:rFonts w:ascii="Arial" w:hAnsi="Arial"/>
          <w:color w:val="000000"/>
        </w:rPr>
        <w:t>High-memory scale option; its 192 GB is far beyond the current model footprint, so platform cost should be justified by future workloads.</w:t>
      </w:r>
    </w:p>
    <w:p>
      <w:pPr>
        <w:pStyle w:val="Heading1"/>
      </w:pPr>
      <w:r>
        <w:rPr>
          <w:rFonts w:ascii="Arial" w:hAnsi="Arial"/>
          <w:color w:val="000000"/>
        </w:rPr>
        <w:t>4. Recommended Procurement Strategy</w:t>
      </w:r>
    </w:p>
    <w:p>
      <w:r>
        <w:rPr>
          <w:rFonts w:ascii="Arial" w:hAnsi="Arial"/>
          <w:b w:val="0"/>
          <w:color w:val="000000"/>
          <w:sz w:val="18"/>
        </w:rPr>
      </w:r>
      <w:r>
        <w:rPr>
          <w:rFonts w:ascii="Arial" w:hAnsi="Arial"/>
          <w:b/>
          <w:color w:val="000000"/>
        </w:rPr>
        <w:t xml:space="preserve">Initial / cost-conscious: </w:t>
      </w:r>
      <w:r>
        <w:rPr>
          <w:rFonts w:ascii="Arial" w:hAnsi="Arial"/>
          <w:color w:val="000000"/>
        </w:rPr>
        <w:t>Evaluate L40S 48 GB first; compare A40/A6000 if their acquisition price is substantially lower.</w:t>
      </w:r>
    </w:p>
    <w:p>
      <w:r>
        <w:rPr>
          <w:rFonts w:ascii="Arial" w:hAnsi="Arial"/>
          <w:b w:val="0"/>
          <w:color w:val="000000"/>
          <w:sz w:val="18"/>
        </w:rPr>
      </w:r>
      <w:r>
        <w:rPr>
          <w:rFonts w:ascii="Arial" w:hAnsi="Arial"/>
          <w:b/>
          <w:color w:val="000000"/>
        </w:rPr>
        <w:t xml:space="preserve">Shared high-headroom: </w:t>
      </w:r>
      <w:r>
        <w:rPr>
          <w:rFonts w:ascii="Arial" w:hAnsi="Arial"/>
          <w:color w:val="000000"/>
        </w:rPr>
        <w:t>A100 80 GB when large context, concurrency or multiple models justify the additional memory.</w:t>
      </w:r>
    </w:p>
    <w:p>
      <w:r>
        <w:rPr>
          <w:rFonts w:ascii="Arial" w:hAnsi="Arial"/>
          <w:b w:val="0"/>
          <w:color w:val="000000"/>
          <w:sz w:val="18"/>
        </w:rPr>
      </w:r>
      <w:r>
        <w:rPr>
          <w:rFonts w:ascii="Arial" w:hAnsi="Arial"/>
          <w:b/>
          <w:color w:val="000000"/>
        </w:rPr>
        <w:t xml:space="preserve">High-performance: </w:t>
      </w:r>
      <w:r>
        <w:rPr>
          <w:rFonts w:ascii="Arial" w:hAnsi="Arial"/>
          <w:color w:val="000000"/>
        </w:rPr>
        <w:t>H100 80 GB or RTX PRO 6000 Blackwell 96 GB when throughput/latency or newer architecture justifies the premium.</w:t>
      </w:r>
    </w:p>
    <w:p>
      <w:r>
        <w:rPr>
          <w:rFonts w:ascii="Arial" w:hAnsi="Arial"/>
          <w:b w:val="0"/>
          <w:color w:val="000000"/>
          <w:sz w:val="18"/>
        </w:rPr>
      </w:r>
      <w:r>
        <w:rPr>
          <w:rFonts w:ascii="Arial" w:hAnsi="Arial"/>
          <w:b/>
          <w:color w:val="000000"/>
        </w:rPr>
        <w:t xml:space="preserve">High-memory scale: </w:t>
      </w:r>
      <w:r>
        <w:rPr>
          <w:rFonts w:ascii="Arial" w:hAnsi="Arial"/>
          <w:color w:val="000000"/>
        </w:rPr>
        <w:t>MI300X when 192 GB HBM3 and 5.3 TB/s bandwidth are valuable enough to justify ROCm and server-platform complexity.</w:t>
      </w:r>
    </w:p>
    <w:p>
      <w:pPr>
        <w:pStyle w:val="Heading1"/>
      </w:pPr>
      <w:r>
        <w:rPr>
          <w:rFonts w:ascii="Arial" w:hAnsi="Arial"/>
          <w:color w:val="000000"/>
        </w:rPr>
        <w:t>5. Multi-Model Routing</w:t>
      </w:r>
    </w:p>
    <w:p>
      <w:r>
        <w:rPr>
          <w:rFonts w:ascii="Arial" w:hAnsi="Arial"/>
          <w:b w:val="0"/>
          <w:color w:val="000000"/>
          <w:sz w:val="18"/>
        </w:rPr>
      </w:r>
      <w:r>
        <w:rPr>
          <w:rFonts w:ascii="Arial" w:hAnsi="Arial"/>
          <w:b/>
          <w:color w:val="000000"/>
        </w:rPr>
        <w:t xml:space="preserve">Gemma → </w:t>
      </w:r>
      <w:r>
        <w:rPr>
          <w:rFonts w:ascii="Arial" w:hAnsi="Arial"/>
          <w:color w:val="000000"/>
        </w:rPr>
        <w:t>fast, latency-sensitive work: autocomplete, boilerplate and simple responses.</w:t>
      </w:r>
    </w:p>
    <w:p>
      <w:r>
        <w:rPr>
          <w:rFonts w:ascii="Arial" w:hAnsi="Arial"/>
          <w:b w:val="0"/>
          <w:color w:val="000000"/>
          <w:sz w:val="18"/>
        </w:rPr>
      </w:r>
      <w:r>
        <w:rPr>
          <w:rFonts w:ascii="Arial" w:hAnsi="Arial"/>
          <w:b/>
          <w:color w:val="000000"/>
        </w:rPr>
        <w:t xml:space="preserve">Qwen → </w:t>
      </w:r>
      <w:r>
        <w:rPr>
          <w:rFonts w:ascii="Arial" w:hAnsi="Arial"/>
          <w:color w:val="000000"/>
        </w:rPr>
        <w:t>complex work: debugging, refactoring, repository analysis and deeper coding.</w:t>
      </w:r>
    </w:p>
    <w:p>
      <w:r>
        <w:rPr>
          <w:rFonts w:ascii="Arial" w:hAnsi="Arial"/>
          <w:b w:val="0"/>
          <w:color w:val="000000"/>
          <w:sz w:val="18"/>
        </w:rPr>
      </w:r>
      <w:r>
        <w:rPr>
          <w:rFonts w:ascii="Arial" w:hAnsi="Arial"/>
          <w:b/>
          <w:color w:val="000000"/>
        </w:rPr>
        <w:t xml:space="preserve">Model Router → </w:t>
      </w:r>
      <w:r>
        <w:rPr>
          <w:rFonts w:ascii="Arial" w:hAnsi="Arial"/>
          <w:color w:val="000000"/>
        </w:rPr>
        <w:t>select the model based on workload complexity and latency requirements, reducing unnecessary use of the heavier model.</w:t>
      </w:r>
    </w:p>
    <w:p>
      <w:pPr>
        <w:pStyle w:val="Heading1"/>
      </w:pPr>
      <w:r>
        <w:rPr>
          <w:rFonts w:ascii="Arial" w:hAnsi="Arial"/>
          <w:color w:val="000000"/>
        </w:rPr>
        <w:t>6. Important Qualification</w:t>
      </w:r>
    </w:p>
    <w:p>
      <w:r>
        <w:rPr>
          <w:rFonts w:ascii="Arial" w:hAnsi="Arial"/>
          <w:b w:val="0"/>
          <w:color w:val="000000"/>
          <w:sz w:val="18"/>
        </w:rPr>
        <w:t>The table describes hardware capacity and deployment considerations, not guaranteed Qwen/Gemma tokens/sec. Actual throughput depends on quantization, context length, batching, concurrency and CUDA/ROCm/vLLM configuration. Benchmark shortlisted GPUs with representative organizational workloads before procurement.</w:t>
      </w:r>
    </w:p>
    <w:p>
      <w:r>
        <w:rPr>
          <w:rFonts w:ascii="Arial" w:hAnsi="Arial"/>
          <w:b w:val="0"/>
          <w:color w:val="000000"/>
          <w:sz w:val="18"/>
        </w:rPr>
        <w:t>Sources: NVIDIA and AMD official specifications; supplied AI Model &amp; Infrastructure Evaluation Report for model memory and workload assumptions.</w:t>
      </w:r>
    </w:p>
    <w:sectPr w:rsidR="00FC693F" w:rsidRPr="0006063C" w:rsidSect="00034616"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