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</w:rPr>
        <w:t>AI Model &amp; Infrastructure Evaluation</w:t>
      </w:r>
    </w:p>
    <w:p>
      <w:pPr>
        <w:jc w:val="center"/>
      </w:pPr>
      <w:r>
        <w:rPr>
          <w:rFonts w:ascii="Arial" w:hAnsi="Arial"/>
          <w:b/>
          <w:color w:val="000000"/>
          <w:sz w:val="22"/>
        </w:rPr>
        <w:t>Key Findings and Recommendations</w:t>
      </w:r>
    </w:p>
    <w:p>
      <w:pPr>
        <w:pStyle w:val="Heading1"/>
      </w:pPr>
      <w:r>
        <w:rPr>
          <w:rFonts w:ascii="Arial" w:hAnsi="Arial"/>
          <w:color w:val="000000"/>
        </w:rPr>
        <w:t>1. Executive Summary</w:t>
      </w:r>
    </w:p>
    <w:p>
      <w:pPr>
        <w:pStyle w:val="ListBullet"/>
      </w:pPr>
      <w:r>
        <w:rPr>
          <w:rFonts w:ascii="Arial" w:hAnsi="Arial"/>
          <w:color w:val="000000"/>
        </w:rPr>
        <w:t>Recommended coding model: Qwen3_6-35B-A3B-4bit.</w:t>
      </w:r>
    </w:p>
    <w:p>
      <w:pPr>
        <w:pStyle w:val="ListBullet"/>
      </w:pPr>
      <w:r>
        <w:rPr>
          <w:rFonts w:ascii="Arial" w:hAnsi="Arial"/>
          <w:color w:val="000000"/>
        </w:rPr>
        <w:t>Recommended deployment hardware: NVIDIA DGX Spark GB10 with 128 GB unified memory.</w:t>
      </w:r>
    </w:p>
    <w:p>
      <w:pPr>
        <w:pStyle w:val="ListBullet"/>
      </w:pPr>
      <w:r>
        <w:rPr>
          <w:rFonts w:ascii="Arial" w:hAnsi="Arial"/>
          <w:color w:val="000000"/>
        </w:rPr>
        <w:t>Qwen3_6-35B-A3B uses Sparse Mixture of Experts (MoE), activating about 3B parameters per token from 35B total.</w:t>
      </w:r>
    </w:p>
    <w:p>
      <w:pPr>
        <w:pStyle w:val="ListBullet"/>
      </w:pPr>
      <w:r>
        <w:rPr>
          <w:rFonts w:ascii="Arial" w:hAnsi="Arial"/>
          <w:color w:val="000000"/>
        </w:rPr>
        <w:t>The report identifies DGX Spark's 128 GB unified memory as important for repository-scale context windows and concurrent users.</w:t>
      </w:r>
    </w:p>
    <w:p>
      <w:pPr>
        <w:pStyle w:val="ListBullet"/>
      </w:pPr>
      <w:r>
        <w:rPr>
          <w:rFonts w:ascii="Arial" w:hAnsi="Arial"/>
          <w:color w:val="000000"/>
        </w:rPr>
        <w:t>Fastest model in the report: gemma-4-26b-a4b-it-mxfp4, estimated at about 35–45+ tokens/sec on DGX Spark GB10.</w:t>
      </w:r>
    </w:p>
    <w:p>
      <w:pPr>
        <w:pStyle w:val="Heading1"/>
      </w:pPr>
      <w:r>
        <w:rPr>
          <w:rFonts w:ascii="Arial" w:hAnsi="Arial"/>
          <w:color w:val="000000"/>
        </w:rPr>
        <w:t>2. Model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Architecture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Parameters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Precision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Memory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Main Use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Qwen3_6-35B-A3B-4bit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Sparse MoE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35B total / ~3B active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4-bit INT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~20–22 GB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Deep coding logic, refactoring, complex debugging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Gemma-4-26B-A4B-it-MXFP4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Sparse MoE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26B total / ~4B active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MXFP4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~15–17 GB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Fast completions, boilerplate, direct answers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Qwen3_6-27B-4bit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Dense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27B / all active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4-bit INT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~16–18 GB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Strong reasoning; slower inference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GLM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Dense / MoE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9B–130B, release-dependent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INT4 / FP8 / BF16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~10–30 GB, varies</w:t>
            </w:r>
          </w:p>
        </w:tc>
        <w:tc>
          <w:tcPr>
            <w:tcW w:type="dxa" w:w="1704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Agentic workflows, tools, bilingual processing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3. Hardware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RTX 4090 48GB (Modified/Workstation)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DGX Spark GB10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Architecture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Ada Lovelace / AD102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Grace ARM CPU + Blackwell GPU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Memory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48 GB GDDR6X / GDDR6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128 GB LPDDR5x unified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Memory bandwidth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~1,000 GB/s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~273 GB/s system unified pool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Context window room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Limited; report estimates ~32k–64k tokens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Extensive; report estimates support for 128k+ tokens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Multi-user suitability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Single-tenant / low concurrency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Enterprise / multi-user concurrency ready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Native MXFP4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No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Yes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Best workload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High-throughput single-user inference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Deep repository context, multi-user coding server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4. Token Economics &amp; Response Verbosity</w:t>
      </w:r>
    </w:p>
    <w:p>
      <w:pPr>
        <w:pStyle w:val="ListBullet"/>
      </w:pPr>
      <w:r>
        <w:rPr>
          <w:rFonts w:ascii="Arial" w:hAnsi="Arial"/>
          <w:color w:val="000000"/>
        </w:rPr>
        <w:t>Token consumption depends on input tokenization efficiency and output verbosity.</w:t>
      </w:r>
    </w:p>
    <w:p>
      <w:pPr>
        <w:pStyle w:val="ListBullet"/>
      </w:pPr>
      <w:r>
        <w:rPr>
          <w:rFonts w:ascii="Arial" w:hAnsi="Arial"/>
          <w:color w:val="000000"/>
        </w:rPr>
        <w:t>Gemma has the largest vocabulary in the comparison (~256k), which the report associates with fewer tokens for multi-character words and code keywords.</w:t>
      </w:r>
    </w:p>
    <w:p>
      <w:pPr>
        <w:pStyle w:val="ListBullet"/>
      </w:pPr>
      <w:r>
        <w:rPr>
          <w:rFonts w:ascii="Arial" w:hAnsi="Arial"/>
          <w:color w:val="000000"/>
        </w:rPr>
        <w:t>Qwen has a ~152k vocabulary and is described as balanced for code syntax and multilingual structures.</w:t>
      </w:r>
    </w:p>
    <w:p>
      <w:pPr>
        <w:pStyle w:val="ListBullet"/>
      </w:pPr>
      <w:r>
        <w:rPr>
          <w:rFonts w:ascii="Arial" w:hAnsi="Arial"/>
          <w:color w:val="000000"/>
        </w:rPr>
        <w:t>Qwen3_6-35B-A3B produces the most detailed outputs in the report, including reasoning, architecture trade-offs, and edge cases.</w:t>
      </w:r>
    </w:p>
    <w:p>
      <w:pPr>
        <w:pStyle w:val="ListBullet"/>
      </w:pPr>
      <w:r>
        <w:rPr>
          <w:rFonts w:ascii="Arial" w:hAnsi="Arial"/>
          <w:color w:val="000000"/>
        </w:rPr>
        <w:t>Gemma-4-26B-it produces the shortest outputs, prioritizing concise code solutions and minimal conversational padding.</w:t>
      </w:r>
    </w:p>
    <w:p>
      <w:pPr>
        <w:pStyle w:val="ListBullet"/>
      </w:pPr>
      <w:r>
        <w:rPr>
          <w:rFonts w:ascii="Arial" w:hAnsi="Arial"/>
          <w:color w:val="000000"/>
        </w:rPr>
        <w:t>GLM is described as moderate in output length and suited to tools/APIs.</w:t>
      </w:r>
    </w:p>
    <w:p>
      <w:pPr>
        <w:pStyle w:val="Heading1"/>
      </w:pPr>
      <w:r>
        <w:rPr>
          <w:rFonts w:ascii="Arial" w:hAnsi="Arial"/>
          <w:color w:val="000000"/>
        </w:rPr>
        <w:t>5. Response Time &amp; Latency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Model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Estimated Generation Speed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b/>
                <w:color w:val="000000"/>
                <w:sz w:val="18"/>
              </w:rPr>
              <w:t>Report Rank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Gemma-4-26B-A4B-it-MXFP4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~35–45+ tokens/sec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1 — Fastest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Qwen3_6-35B-A3B-4bit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~30–40 tokens/sec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2 — Very Fast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GLM (variant dependent)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~15–25 tokens/sec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3 — Moderate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Qwen3_6-27B-4bit (Dense)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~7–12 tokens/sec</w:t>
            </w:r>
          </w:p>
        </w:tc>
        <w:tc>
          <w:tcPr>
            <w:tcW w:type="dxa" w:w="3408"/>
            <w:shd w:fill="FFFFFF"/>
          </w:tcPr>
          <w:p>
            <w:r>
              <w:rPr>
                <w:rFonts w:ascii="Arial" w:hAnsi="Arial"/>
                <w:color w:val="000000"/>
                <w:sz w:val="18"/>
              </w:rPr>
              <w:t>4 — Slowest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6. Final Recommendation from the Report</w:t>
      </w:r>
    </w:p>
    <w:p>
      <w:r>
        <w:rPr>
          <w:rFonts w:ascii="Arial" w:hAnsi="Arial"/>
          <w:b/>
          <w:color w:val="000000"/>
        </w:rPr>
        <w:t xml:space="preserve">Model selection: </w:t>
      </w:r>
      <w:r>
        <w:rPr>
          <w:rFonts w:ascii="Arial" w:hAnsi="Arial"/>
          <w:color w:val="000000"/>
        </w:rPr>
        <w:t>Qwen3_6-35B-A3B (4-bit) is presented as the strongest balance of coding logic and inference speed.</w:t>
      </w:r>
    </w:p>
    <w:p>
      <w:r>
        <w:rPr>
          <w:rFonts w:ascii="Arial" w:hAnsi="Arial"/>
          <w:b/>
          <w:color w:val="000000"/>
        </w:rPr>
        <w:t xml:space="preserve">Hardware selection: </w:t>
      </w:r>
      <w:r>
        <w:rPr>
          <w:rFonts w:ascii="Arial" w:hAnsi="Arial"/>
          <w:color w:val="000000"/>
        </w:rPr>
        <w:t>NVIDIA DGX Spark GB10 with 128 GB unified memory is presented as the preferred platform for deep repository context and concurrent users.</w:t>
      </w:r>
    </w:p>
    <w:p>
      <w:r>
        <w:rPr>
          <w:rFonts w:ascii="Arial" w:hAnsi="Arial"/>
          <w:b/>
          <w:color w:val="000000"/>
        </w:rPr>
        <w:t xml:space="preserve">Speed alternative: </w:t>
      </w:r>
      <w:r>
        <w:rPr>
          <w:rFonts w:ascii="Arial" w:hAnsi="Arial"/>
          <w:color w:val="000000"/>
        </w:rPr>
        <w:t>Gemma-4-26B-it with native Blackwell MXFP4 is presented as the fastest option for low-latency code completion.</w:t>
      </w:r>
    </w:p>
    <w:p>
      <w:pPr>
        <w:pStyle w:val="Heading1"/>
      </w:pPr>
      <w:r>
        <w:rPr>
          <w:rFonts w:ascii="Arial" w:hAnsi="Arial"/>
          <w:color w:val="000000"/>
        </w:rPr>
        <w:t>7. Key Takeaways</w:t>
      </w:r>
    </w:p>
    <w:p>
      <w:pPr>
        <w:pStyle w:val="ListBullet"/>
      </w:pPr>
      <w:r>
        <w:rPr>
          <w:rFonts w:ascii="Arial" w:hAnsi="Arial"/>
          <w:color w:val="000000"/>
        </w:rPr>
        <w:t>For a coding-focused AI lab, memory capacity and context headroom are central infrastructure considerations.</w:t>
      </w:r>
    </w:p>
    <w:p>
      <w:pPr>
        <w:pStyle w:val="ListBullet"/>
      </w:pPr>
      <w:r>
        <w:rPr>
          <w:rFonts w:ascii="Arial" w:hAnsi="Arial"/>
          <w:color w:val="000000"/>
        </w:rPr>
        <w:t>Sparse MoE models reduce the active parameters processed per token compared with dense models.</w:t>
      </w:r>
    </w:p>
    <w:p>
      <w:pPr>
        <w:pStyle w:val="ListBullet"/>
      </w:pPr>
      <w:r>
        <w:rPr>
          <w:rFonts w:ascii="Arial" w:hAnsi="Arial"/>
          <w:color w:val="000000"/>
        </w:rPr>
        <w:t>The report favors Qwen3_6-35B-A3B for coding quality and DGX Spark GB10 for memory capacity and multi-user deployment.</w:t>
      </w:r>
    </w:p>
    <w:p>
      <w:pPr>
        <w:pStyle w:val="ListBullet"/>
      </w:pPr>
      <w:r>
        <w:rPr>
          <w:rFonts w:ascii="Arial" w:hAnsi="Arial"/>
          <w:color w:val="000000"/>
        </w:rPr>
        <w:t>Gemma is the reported speed-oriented alternative.</w:t>
      </w:r>
    </w:p>
    <w:p>
      <w:r>
        <w:rPr>
          <w:rFonts w:ascii="Arial" w:hAnsi="Arial"/>
          <w:color w:val="000000"/>
        </w:rP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8"/>
        </w:rPr>
        <w:t>8. Recommended Multi-Model AI Lab Architecture</w:t>
      </w:r>
    </w:p>
    <w:p>
      <w:r>
        <w:rPr>
          <w:rFonts w:ascii="Arial" w:hAnsi="Arial"/>
          <w:b/>
          <w:color w:val="000000"/>
          <w:sz w:val="20"/>
        </w:rPr>
        <w:t xml:space="preserve">Key idea: </w:t>
      </w:r>
      <w:r>
        <w:rPr>
          <w:rFonts w:ascii="Arial" w:hAnsi="Arial"/>
          <w:color w:val="000000"/>
          <w:sz w:val="20"/>
        </w:rPr>
        <w:t>Do not treat Gemma and Qwen as mutually exclusive. Use a model router to select the appropriate model for each request.</w:t>
      </w:r>
    </w:p>
    <w:p>
      <w:pPr>
        <w:pStyle w:val="ListBullet"/>
      </w:pPr>
      <w:r>
        <w:rPr>
          <w:rFonts w:ascii="Arial" w:hAnsi="Arial"/>
          <w:b/>
          <w:color w:val="000000"/>
          <w:sz w:val="20"/>
        </w:rPr>
        <w:t xml:space="preserve">Gemma → </w:t>
      </w:r>
      <w:r>
        <w:rPr>
          <w:rFonts w:ascii="Arial" w:hAnsi="Arial"/>
          <w:color w:val="000000"/>
          <w:sz w:val="20"/>
        </w:rPr>
        <w:t>Fast, latency-sensitive tasks such as autocomplete, boilerplate generation, simple Q&amp;A, and quick responses.</w:t>
      </w:r>
    </w:p>
    <w:p>
      <w:pPr>
        <w:pStyle w:val="ListBullet"/>
      </w:pPr>
      <w:r>
        <w:rPr>
          <w:rFonts w:ascii="Arial" w:hAnsi="Arial"/>
          <w:b/>
          <w:color w:val="000000"/>
          <w:sz w:val="20"/>
        </w:rPr>
        <w:t xml:space="preserve">Qwen → </w:t>
      </w:r>
      <w:r>
        <w:rPr>
          <w:rFonts w:ascii="Arial" w:hAnsi="Arial"/>
          <w:color w:val="000000"/>
          <w:sz w:val="20"/>
        </w:rPr>
        <w:t>Complex, reasoning-heavy tasks such as debugging, refactoring, repository analysis, and deep coding work.</w:t>
      </w:r>
    </w:p>
    <w:p>
      <w:pPr>
        <w:pStyle w:val="ListBullet"/>
      </w:pPr>
      <w:r>
        <w:rPr>
          <w:rFonts w:ascii="Arial" w:hAnsi="Arial"/>
          <w:b/>
          <w:color w:val="000000"/>
          <w:sz w:val="20"/>
        </w:rPr>
        <w:t xml:space="preserve">Model Router → </w:t>
      </w:r>
      <w:r>
        <w:rPr>
          <w:rFonts w:ascii="Arial" w:hAnsi="Arial"/>
          <w:color w:val="000000"/>
          <w:sz w:val="20"/>
        </w:rPr>
        <w:t>Automatically classify incoming requests and route them to the model that best matches the workload.</w:t>
      </w:r>
    </w:p>
    <w:p>
      <w:pPr>
        <w:pStyle w:val="ListBullet"/>
      </w:pPr>
      <w:r>
        <w:rPr>
          <w:rFonts w:ascii="Arial" w:hAnsi="Arial"/>
          <w:b/>
          <w:color w:val="000000"/>
          <w:sz w:val="20"/>
        </w:rPr>
        <w:t xml:space="preserve">Cost advantage → </w:t>
      </w:r>
      <w:r>
        <w:rPr>
          <w:rFonts w:ascii="Arial" w:hAnsi="Arial"/>
          <w:color w:val="000000"/>
          <w:sz w:val="20"/>
        </w:rPr>
        <w:t>Avoid sending every request to the heavier model; use the faster/smaller model for suitable workloads.</w:t>
      </w:r>
    </w:p>
    <w:p>
      <w:r>
        <w:rPr>
          <w:rFonts w:ascii="Arial" w:hAnsi="Arial"/>
          <w:b/>
          <w:color w:val="000000"/>
          <w:sz w:val="20"/>
        </w:rPr>
        <w:t>Proposed request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AI Lab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Model Router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Model / Workload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color w:val="000000"/>
                <w:sz w:val="20"/>
              </w:rPr>
              <w:t>User / Application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color w:val="000000"/>
                <w:sz w:val="20"/>
              </w:rPr>
              <w:t>Classify request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color w:val="000000"/>
                <w:sz w:val="20"/>
              </w:rPr>
              <w:t>Gemma → Fast tasks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color w:val="000000"/>
                <w:sz w:val="20"/>
              </w:rPr>
              <w:t>User / Application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color w:val="000000"/>
                <w:sz w:val="20"/>
              </w:rPr>
              <w:t>Estimate complexity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color w:val="000000"/>
                <w:sz w:val="20"/>
              </w:rPr>
              <w:t>Qwen → Complex tasks</w:t>
            </w:r>
          </w:p>
        </w:tc>
      </w:tr>
      <w:tr>
        <w:tc>
          <w:tcPr>
            <w:tcW w:type="dxa" w:w="3408"/>
          </w:tcPr>
          <w:p>
            <w:r>
              <w:rPr>
                <w:rFonts w:ascii="Arial" w:hAnsi="Arial"/>
                <w:color w:val="000000"/>
                <w:sz w:val="20"/>
              </w:rPr>
              <w:t>User / Application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color w:val="000000"/>
                <w:sz w:val="20"/>
              </w:rPr>
              <w:t>Apply routing policy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color w:val="000000"/>
                <w:sz w:val="20"/>
              </w:rPr>
              <w:t>Future models → Specialized workloads</w:t>
            </w:r>
          </w:p>
        </w:tc>
      </w:tr>
    </w:tbl>
    <w:p>
      <w:r>
        <w:rPr>
          <w:rFonts w:ascii="Arial" w:hAnsi="Arial"/>
          <w:b/>
          <w:color w:val="000000"/>
          <w:sz w:val="20"/>
        </w:rPr>
        <w:t>Example routing policy</w:t>
      </w:r>
    </w:p>
    <w:p>
      <w:pPr>
        <w:pStyle w:val="ListBullet"/>
      </w:pPr>
      <w:r>
        <w:rPr>
          <w:rFonts w:ascii="Arial" w:hAnsi="Arial"/>
          <w:b/>
          <w:color w:val="000000"/>
          <w:sz w:val="20"/>
        </w:rPr>
        <w:t xml:space="preserve">Simple + latency-sensitive → </w:t>
      </w:r>
      <w:r>
        <w:rPr>
          <w:rFonts w:ascii="Arial" w:hAnsi="Arial"/>
          <w:color w:val="000000"/>
          <w:sz w:val="20"/>
        </w:rPr>
        <w:t>Gemma</w:t>
      </w:r>
    </w:p>
    <w:p>
      <w:pPr>
        <w:pStyle w:val="ListBullet"/>
      </w:pPr>
      <w:r>
        <w:rPr>
          <w:rFonts w:ascii="Arial" w:hAnsi="Arial"/>
          <w:b/>
          <w:color w:val="000000"/>
          <w:sz w:val="20"/>
        </w:rPr>
        <w:t xml:space="preserve">Complex + reasoning-heavy → </w:t>
      </w:r>
      <w:r>
        <w:rPr>
          <w:rFonts w:ascii="Arial" w:hAnsi="Arial"/>
          <w:color w:val="000000"/>
          <w:sz w:val="20"/>
        </w:rPr>
        <w:t>Qwen</w:t>
      </w:r>
    </w:p>
    <w:p>
      <w:pPr>
        <w:pStyle w:val="ListBullet"/>
      </w:pPr>
      <w:r>
        <w:rPr>
          <w:rFonts w:ascii="Arial" w:hAnsi="Arial"/>
          <w:b/>
          <w:color w:val="000000"/>
          <w:sz w:val="20"/>
        </w:rPr>
        <w:t xml:space="preserve">Large repository / multi-file analysis → </w:t>
      </w:r>
      <w:r>
        <w:rPr>
          <w:rFonts w:ascii="Arial" w:hAnsi="Arial"/>
          <w:color w:val="000000"/>
          <w:sz w:val="20"/>
        </w:rPr>
        <w:t>Qwen</w:t>
      </w:r>
    </w:p>
    <w:p>
      <w:pPr>
        <w:pStyle w:val="ListBullet"/>
      </w:pPr>
      <w:r>
        <w:rPr>
          <w:rFonts w:ascii="Arial" w:hAnsi="Arial"/>
          <w:b/>
          <w:color w:val="000000"/>
          <w:sz w:val="20"/>
        </w:rPr>
        <w:t xml:space="preserve">Quick autocomplete / boilerplate → </w:t>
      </w:r>
      <w:r>
        <w:rPr>
          <w:rFonts w:ascii="Arial" w:hAnsi="Arial"/>
          <w:color w:val="000000"/>
          <w:sz w:val="20"/>
        </w:rPr>
        <w:t>Gemma</w:t>
      </w:r>
    </w:p>
    <w:p>
      <w:r>
        <w:rPr>
          <w:rFonts w:ascii="Arial" w:hAnsi="Arial"/>
          <w:b/>
          <w:color w:val="000000"/>
          <w:sz w:val="20"/>
        </w:rPr>
        <w:t xml:space="preserve">Important qualification: </w:t>
      </w:r>
      <w:r>
        <w:rPr>
          <w:rFonts w:ascii="Arial" w:hAnsi="Arial"/>
          <w:color w:val="000000"/>
          <w:sz w:val="20"/>
        </w:rPr>
        <w:t>The source report provides latency estimates and qualitative workload recommendations, but it does not provide a standardized benchmark methodology or detailed accuracy results establishing that Gemma is worse for every complex coding task. Therefore, the routing policy should be validated with the organization's own workloads.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