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</w:rPr>
        <w:t>Apple Silicon vs NVIDIA for a Cost-Effective AI Lab</w:t>
      </w:r>
    </w:p>
    <w:p>
      <w:pPr>
        <w:jc w:val="center"/>
      </w:pPr>
      <w:r>
        <w:rPr>
          <w:rFonts w:ascii="Arial" w:hAnsi="Arial"/>
          <w:b/>
          <w:color w:val="000000"/>
        </w:rPr>
        <w:t>Infrastructure, Cost, Concurrency, Maintenance, Privacy and Scaling</w:t>
      </w:r>
    </w:p>
    <w:p>
      <w:pPr>
        <w:pStyle w:val="Heading1"/>
      </w:pPr>
      <w:r>
        <w:rPr>
          <w:rFonts w:ascii="Arial" w:hAnsi="Arial"/>
          <w:color w:val="000000"/>
        </w:rPr>
        <w:t>1. Executive Summary</w:t>
      </w:r>
    </w:p>
    <w:p>
      <w:r>
        <w:rPr>
          <w:rFonts w:ascii="Arial" w:hAnsi="Arial"/>
          <w:b w:val="0"/>
          <w:color w:val="000000"/>
          <w:sz w:val="18"/>
        </w:rPr>
        <w:t>Objective: provide private, shared AI infrastructure for researchers while minimizing initial and long-term cost.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Apple strengths: </w:t>
      </w:r>
      <w:r>
        <w:rPr>
          <w:rFonts w:ascii="Arial" w:hAnsi="Arial"/>
          <w:color w:val="000000"/>
        </w:rPr>
        <w:t>large unified-memory configurations, low system power, compact hardware and simple workstation-style maintenance.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NVIDIA strengths: </w:t>
      </w:r>
      <w:r>
        <w:rPr>
          <w:rFonts w:ascii="Arial" w:hAnsi="Arial"/>
          <w:color w:val="000000"/>
        </w:rPr>
        <w:t>purpose-built AI accelerators, mature CUDA ecosystem, strong shared-serving capabilities and data-center features.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Decision principle: </w:t>
      </w:r>
      <w:r>
        <w:rPr>
          <w:rFonts w:ascii="Arial" w:hAnsi="Arial"/>
          <w:color w:val="000000"/>
        </w:rPr>
        <w:t>Apple is attractive for low-power private inference and development; NVIDIA is the stronger foundation for a centralized multi-user AI service.</w:t>
      </w:r>
    </w:p>
    <w:p>
      <w:pPr>
        <w:pStyle w:val="Heading1"/>
      </w:pPr>
      <w:r>
        <w:rPr>
          <w:rFonts w:ascii="Arial" w:hAnsi="Arial"/>
          <w:color w:val="000000"/>
        </w:rPr>
        <w:t>2. Representative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System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Memory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Power / form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Qwen 35B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Gemma 26B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Best role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Mac mini M4 Pro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24/48/64 GB unified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155W max continuous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64GB: Yes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Low-cost node / development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Mac Studio M4 Max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36GB+ configs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145W max for listed 2025 config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High-memory config preferred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Apple workstation / small server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Mac Studio M3 Ultra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Up to 512GB unified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270W max for listed 2025 config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Yes; huge headroom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High-memory Apple node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L40S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48GB GDDR6 ECC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350W GPU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Shared inference server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A100 80GB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80GB HBM2e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300W PCIe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Yes; excellent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Yes; excellent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Data-center shared inference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H100 80GB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80GB HBM3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High-power data center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Yes; excellent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Yes; excellent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Heavy production workloads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3. Apple: Why Use It?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Unified memory: </w:t>
      </w:r>
      <w:r>
        <w:rPr>
          <w:rFonts w:ascii="Arial" w:hAnsi="Arial"/>
          <w:color w:val="000000"/>
        </w:rPr>
        <w:t>Large-memory Macs can keep model weights, context and application data in one shared memory pool.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Power: </w:t>
      </w:r>
      <w:r>
        <w:rPr>
          <w:rFonts w:ascii="Arial" w:hAnsi="Arial"/>
          <w:color w:val="000000"/>
        </w:rPr>
        <w:t>Apple's published 2025 examples show Mac Studio M4 Max at 6W idle/145W max and M3 Ultra at 9W idle/270W max.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Operational simplicity: </w:t>
      </w:r>
      <w:r>
        <w:rPr>
          <w:rFonts w:ascii="Arial" w:hAnsi="Arial"/>
          <w:color w:val="000000"/>
        </w:rPr>
        <w:t>Complete compact computers are easier to deploy than passive data-center accelerators requiring a server platform.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Privacy: </w:t>
      </w:r>
      <w:r>
        <w:rPr>
          <w:rFonts w:ascii="Arial" w:hAnsi="Arial"/>
          <w:color w:val="000000"/>
        </w:rPr>
        <w:t>A fully local deployment can keep prompts and source code inside the institution, subject to correct network/security configuration.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Development: </w:t>
      </w:r>
      <w:r>
        <w:rPr>
          <w:rFonts w:ascii="Arial" w:hAnsi="Arial"/>
          <w:color w:val="000000"/>
        </w:rPr>
        <w:t>Good platform for researchers building RAG, agents, embeddings and local prototypes.</w:t>
      </w:r>
    </w:p>
    <w:p>
      <w:pPr>
        <w:pStyle w:val="Heading1"/>
      </w:pPr>
      <w:r>
        <w:rPr>
          <w:rFonts w:ascii="Arial" w:hAnsi="Arial"/>
          <w:color w:val="000000"/>
        </w:rPr>
        <w:t>4. Apple: Trade-offs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Serving ecosystem: </w:t>
      </w:r>
      <w:r>
        <w:rPr>
          <w:rFonts w:ascii="Arial" w:hAnsi="Arial"/>
          <w:color w:val="000000"/>
        </w:rPr>
        <w:t>NVIDIA has a more mature CUDA-centric production AI ecosystem. vLLM supports Apple Silicon through vLLM-Metal, but this is a separate/community-maintained Metal path.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Concurrency: </w:t>
      </w:r>
      <w:r>
        <w:rPr>
          <w:rFonts w:ascii="Arial" w:hAnsi="Arial"/>
          <w:color w:val="000000"/>
        </w:rPr>
        <w:t>No fixed user count can be inferred from RAM. Throughput depends on model, context, batching and concurrency.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Clustering: </w:t>
      </w:r>
      <w:r>
        <w:rPr>
          <w:rFonts w:ascii="Arial" w:hAnsi="Arial"/>
          <w:color w:val="000000"/>
        </w:rPr>
        <w:t>Five 64GB Macs provide five independent workers; they do not automatically become one 320GB GPU.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Upgradeability: </w:t>
      </w:r>
      <w:r>
        <w:rPr>
          <w:rFonts w:ascii="Arial" w:hAnsi="Arial"/>
          <w:color w:val="000000"/>
        </w:rPr>
        <w:t>Memory/GPU resources are integrated; later hardware upgrades are limited.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Cost at high memory: </w:t>
      </w:r>
      <w:r>
        <w:rPr>
          <w:rFonts w:ascii="Arial" w:hAnsi="Arial"/>
          <w:color w:val="000000"/>
        </w:rPr>
        <w:t>Large unified-memory configurations can become expensive.</w:t>
      </w:r>
    </w:p>
    <w:p>
      <w:pPr>
        <w:pStyle w:val="Heading1"/>
      </w:pPr>
      <w:r>
        <w:rPr>
          <w:rFonts w:ascii="Arial" w:hAnsi="Arial"/>
          <w:color w:val="000000"/>
        </w:rPr>
        <w:t>5. NVIDIA: Why Use It?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AI-native hardware: </w:t>
      </w:r>
      <w:r>
        <w:rPr>
          <w:rFonts w:ascii="Arial" w:hAnsi="Arial"/>
          <w:color w:val="000000"/>
        </w:rPr>
        <w:t>L40S has 48GB ECC memory and 864GB/s bandwidth; NVIDIA positions it for generative AI.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High-memory data-center option: </w:t>
      </w:r>
      <w:r>
        <w:rPr>
          <w:rFonts w:ascii="Arial" w:hAnsi="Arial"/>
          <w:color w:val="000000"/>
        </w:rPr>
        <w:t>A100 80GB provides 80GB HBM2e and about 1.94–2.04TB/s bandwidth.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Multi-user features: </w:t>
      </w:r>
      <w:r>
        <w:rPr>
          <w:rFonts w:ascii="Arial" w:hAnsi="Arial"/>
          <w:color w:val="000000"/>
        </w:rPr>
        <w:t>A100 supports up to seven MIG instances, allowing hardware partitioning for multiple workloads.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Software ecosystem: </w:t>
      </w:r>
      <w:r>
        <w:rPr>
          <w:rFonts w:ascii="Arial" w:hAnsi="Arial"/>
          <w:color w:val="000000"/>
        </w:rPr>
        <w:t>CUDA and the NVIDIA inference stack provide broad support for serving, fine-tuning and research.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Scaling: </w:t>
      </w:r>
      <w:r>
        <w:rPr>
          <w:rFonts w:ascii="Arial" w:hAnsi="Arial"/>
          <w:color w:val="000000"/>
        </w:rPr>
        <w:t>GPU servers can scale from one accelerator to multi-GPU systems and larger clusters.</w:t>
      </w:r>
    </w:p>
    <w:p>
      <w:pPr>
        <w:pStyle w:val="Heading1"/>
      </w:pPr>
      <w:r>
        <w:rPr>
          <w:rFonts w:ascii="Arial" w:hAnsi="Arial"/>
          <w:color w:val="000000"/>
        </w:rPr>
        <w:t>6. NVIDIA: Trade-offs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Initial cost: </w:t>
      </w:r>
      <w:r>
        <w:rPr>
          <w:rFonts w:ascii="Arial" w:hAnsi="Arial"/>
          <w:color w:val="000000"/>
        </w:rPr>
        <w:t>Server chassis, accelerator, cooling, power and networking can make total system cost high.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Power/cooling: </w:t>
      </w:r>
      <w:r>
        <w:rPr>
          <w:rFonts w:ascii="Arial" w:hAnsi="Arial"/>
          <w:color w:val="000000"/>
        </w:rPr>
        <w:t>L40S is 350W for the GPU alone; A100 80GB PCIe is 300W.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Maintenance: </w:t>
      </w:r>
      <w:r>
        <w:rPr>
          <w:rFonts w:ascii="Arial" w:hAnsi="Arial"/>
          <w:color w:val="000000"/>
        </w:rPr>
        <w:t>Linux, drivers, CUDA, containers, firmware, monitoring and cooling require more operational expertise.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Specialist skills: </w:t>
      </w:r>
      <w:r>
        <w:rPr>
          <w:rFonts w:ascii="Arial" w:hAnsi="Arial"/>
          <w:color w:val="000000"/>
        </w:rPr>
        <w:t>A shared GPU service usually needs stronger infrastructure/DevOps capability.</w:t>
      </w:r>
    </w:p>
    <w:p>
      <w:pPr>
        <w:pStyle w:val="Heading1"/>
      </w:pPr>
      <w:r>
        <w:rPr>
          <w:rFonts w:ascii="Arial" w:hAnsi="Arial"/>
          <w:color w:val="000000"/>
        </w:rPr>
        <w:t>7. Concurrency and 5–10 Mac Mini Clustering</w:t>
      </w:r>
    </w:p>
    <w:p>
      <w:r>
        <w:rPr>
          <w:rFonts w:ascii="Arial" w:hAnsi="Arial"/>
          <w:b w:val="0"/>
          <w:color w:val="000000"/>
          <w:sz w:val="18"/>
        </w:rPr>
        <w:t>Do not promise a fixed number of users from VRAM alone. A model fitting in memory does not mean a fixed number of users can receive a target tokens/sec.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Scenario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Apple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NVIDIA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Planning view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1–3 researchers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1 high-memory Mac can be practical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1 L40S can be practical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Apple attractive for low-cost pilot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Several concurrent researchers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Multiple Macs / one high-memory Studio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1 shared L40S/A100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easier as central service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 concurrency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Horizontal Mac nodes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GPU serving + batching/scheduling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better suited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Large models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High-memory Studio can fit very large models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80–192GB accelerators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Compare memory and throughput separately</w:t>
            </w:r>
          </w:p>
        </w:tc>
      </w:tr>
    </w:tbl>
    <w:p>
      <w:r>
        <w:rPr>
          <w:rFonts w:ascii="Arial" w:hAnsi="Arial"/>
          <w:b w:val="0"/>
          <w:color w:val="000000"/>
          <w:sz w:val="18"/>
        </w:rPr>
        <w:t>A cluster of 5–10 Mac minis is feasible as a pool of independent inference workers. A router can distribute requests across nodes. However, memory is not pooled into one giant GPU, so a single request/model still needs to fit on one node unless a specialized distributed approach is used.</w:t>
      </w:r>
    </w:p>
    <w:p>
      <w:pPr>
        <w:pStyle w:val="Heading1"/>
      </w:pPr>
      <w:r>
        <w:rPr>
          <w:rFonts w:ascii="Arial" w:hAnsi="Arial"/>
          <w:color w:val="000000"/>
        </w:rPr>
        <w:t>8. Privacy / Data-Leakage</w:t>
      </w:r>
    </w:p>
    <w:p>
      <w:r>
        <w:rPr>
          <w:rFonts w:ascii="Arial" w:hAnsi="Arial"/>
          <w:b w:val="0"/>
          <w:color w:val="000000"/>
          <w:sz w:val="18"/>
        </w:rPr>
        <w:t>Both Apple and NVIDIA can support a fully on-premises, private AI lab. Hardware alone does not guarantee privacy.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Local inference: </w:t>
      </w:r>
      <w:r>
        <w:rPr>
          <w:rFonts w:ascii="Arial" w:hAnsi="Arial"/>
          <w:color w:val="000000"/>
        </w:rPr>
        <w:t>Prompts, source code and outputs can remain inside the organization's network if external APIs/telemetry are controlled.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Access control: </w:t>
      </w:r>
      <w:r>
        <w:rPr>
          <w:rFonts w:ascii="Arial" w:hAnsi="Arial"/>
          <w:color w:val="000000"/>
        </w:rPr>
        <w:t>Use authentication, authorization, encryption, network segmentation and audit logging.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Cloud bursting: </w:t>
      </w:r>
      <w:r>
        <w:rPr>
          <w:rFonts w:ascii="Arial" w:hAnsi="Arial"/>
          <w:color w:val="000000"/>
        </w:rPr>
        <w:t>If overflow is sent to public cloud/API providers, sensitive data needs explicit policy controls before leaving the organization's environment.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Recommended design: </w:t>
      </w:r>
      <w:r>
        <w:rPr>
          <w:rFonts w:ascii="Arial" w:hAnsi="Arial"/>
          <w:color w:val="000000"/>
        </w:rPr>
        <w:t>Private API gateway → authentication → model router → local inference nodes; external routing only through an approved policy path.</w:t>
      </w:r>
    </w:p>
    <w:p>
      <w:pPr>
        <w:pStyle w:val="Heading1"/>
      </w:pPr>
      <w:r>
        <w:rPr>
          <w:rFonts w:ascii="Arial" w:hAnsi="Arial"/>
          <w:color w:val="000000"/>
        </w:rPr>
        <w:t>9. Maintenance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Area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Apple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NVIDIA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/>
                <w:color w:val="000000"/>
                <w:sz w:val="14"/>
              </w:rPr>
              <w:t>Implication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Hardware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Low; integrated system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Higher; server/GPU/cooling/PSU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Apple simpler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Software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macOS + ML stack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Linux + drivers + CUDA/containers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needs more specialist skill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Scaling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Add another machine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Add GPUs/nodes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more infrastructure-native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Repair/upgrade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Limited component upgrade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More replaceable server components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NVIDIA better for long-lived infrastructure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Power/cooling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Lower system power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Higher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b w:val="0"/>
                <w:color w:val="000000"/>
                <w:sz w:val="14"/>
              </w:rPr>
              <w:t>Apple can reduce operating overhead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10. Scenario-Based Decision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Minimum initial budget: </w:t>
      </w:r>
      <w:r>
        <w:rPr>
          <w:rFonts w:ascii="Arial" w:hAnsi="Arial"/>
          <w:color w:val="000000"/>
        </w:rPr>
        <w:t>High-memory Mac mini/Studio can be a strong pilot platform for private inference and development.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Central service for many researchers: </w:t>
      </w:r>
      <w:r>
        <w:rPr>
          <w:rFonts w:ascii="Arial" w:hAnsi="Arial"/>
          <w:color w:val="000000"/>
        </w:rPr>
        <w:t>NVIDIA L40S is a logical starting point; measure utilization and queue time before adding GPUs.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Large context / future large models: </w:t>
      </w:r>
      <w:r>
        <w:rPr>
          <w:rFonts w:ascii="Arial" w:hAnsi="Arial"/>
          <w:color w:val="000000"/>
        </w:rPr>
        <w:t>High-memory Mac Studio is attractive for model fitting; A100/H100/other high-memory accelerators should be compared for throughput.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Maximum privacy: </w:t>
      </w:r>
      <w:r>
        <w:rPr>
          <w:rFonts w:ascii="Arial" w:hAnsi="Arial"/>
          <w:color w:val="000000"/>
        </w:rPr>
        <w:t>Either platform can meet the requirement when completely on-premises and securely configured.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5–10 small nodes: </w:t>
      </w:r>
      <w:r>
        <w:rPr>
          <w:rFonts w:ascii="Arial" w:hAnsi="Arial"/>
          <w:color w:val="000000"/>
        </w:rPr>
        <w:t>Mac minis can scale horizontally for independent jobs, but a centralized NVIDIA server is generally simpler for one shared model.</w:t>
      </w:r>
    </w:p>
    <w:p>
      <w:pPr>
        <w:pStyle w:val="Heading1"/>
      </w:pPr>
      <w:r>
        <w:rPr>
          <w:rFonts w:ascii="Arial" w:hAnsi="Arial"/>
          <w:color w:val="000000"/>
        </w:rPr>
        <w:t>11. Recommended Strategy for This AI Lab</w:t>
      </w:r>
    </w:p>
    <w:p>
      <w:r>
        <w:rPr>
          <w:rFonts w:ascii="Arial" w:hAnsi="Arial"/>
          <w:b w:val="0"/>
          <w:color w:val="000000"/>
          <w:sz w:val="18"/>
        </w:rPr>
        <w:t>If the defining requirement is shared AI infrastructure for researchers, private/on-prem inference and scalable serving, NVIDIA should be treated as the primary shared-serving architecture.</w:t>
      </w:r>
    </w:p>
    <w:p>
      <w:r>
        <w:rPr>
          <w:rFonts w:ascii="Arial" w:hAnsi="Arial"/>
          <w:b w:val="0"/>
          <w:color w:val="000000"/>
          <w:sz w:val="18"/>
        </w:rPr>
        <w:t>If the initial budget cannot support a proper NVIDIA server, a high-memory Mac mini/Studio can be used as a pilot to validate the API, model router, authentication, RAG and research workflows.</w:t>
      </w:r>
    </w:p>
    <w:p>
      <w:r>
        <w:rPr>
          <w:rFonts w:ascii="Arial" w:hAnsi="Arial"/>
          <w:b w:val="0"/>
          <w:color w:val="000000"/>
          <w:sz w:val="18"/>
        </w:rPr>
        <w:t>Procurement rule: benchmark real workloads before buying multiple nodes. Measure time-to-first-token, tokens/sec, concurrent requests, queue time, memory use, power draw and cost per useful request.</w:t>
      </w:r>
    </w:p>
    <w:p>
      <w:pPr>
        <w:pStyle w:val="Heading1"/>
      </w:pPr>
      <w:r>
        <w:rPr>
          <w:rFonts w:ascii="Arial" w:hAnsi="Arial"/>
          <w:color w:val="000000"/>
        </w:rPr>
        <w:t>12. Evidence / Sources</w:t>
      </w:r>
    </w:p>
    <w:p>
      <w:r>
        <w:rPr>
          <w:rFonts w:ascii="Arial" w:hAnsi="Arial"/>
          <w:b w:val="0"/>
          <w:color w:val="000000"/>
          <w:sz w:val="18"/>
        </w:rPr>
        <w:t>Apple: Mac mini technical specifications; Mac Studio specifications and power-consumption data. NVIDIA: L40S and A100 official specifications. vLLM documentation: CUDA, ROCm and Apple Silicon/vLLM-Metal support.</w:t>
      </w:r>
    </w:p>
    <w:p>
      <w:r>
        <w:rPr>
          <w:rFonts w:ascii="Arial" w:hAnsi="Arial"/>
          <w:b w:val="0"/>
          <w:color w:val="000000"/>
          <w:sz w:val="18"/>
        </w:rPr>
        <w:t>Model assumptions are from the supplied AI Model &amp; Infrastructure Evaluation Report: Qwen3_6-35B-A3B estimated ~20–22GB and Gemma-4-26B-A4B-it-MXFP4 estimated ~15–17GB.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