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11D4" w:rsidRDefault="00000000">
      <w:pPr>
        <w:pStyle w:val="Title"/>
        <w:jc w:val="center"/>
      </w:pPr>
      <w:r>
        <w:t xml:space="preserve">Qwen Model Upgrade </w:t>
      </w:r>
    </w:p>
    <w:p w:rsidR="00BD11D4" w:rsidRDefault="00000000">
      <w:pPr>
        <w:jc w:val="center"/>
      </w:pPr>
      <w:r>
        <w:rPr>
          <w:b/>
          <w:sz w:val="18"/>
        </w:rPr>
        <w:t>Qwen3.6-35B-A3B vs Qwen3-Next-80B-A3B-Instruct | AI Lab Research</w:t>
      </w:r>
    </w:p>
    <w:p w:rsidR="00BD11D4" w:rsidRDefault="00000000">
      <w:r>
        <w:rPr>
          <w:b/>
        </w:rPr>
        <w:t xml:space="preserve">Objective. </w:t>
      </w:r>
      <w:r>
        <w:t>Evaluate an approximately 80B-parameter open-weight model as an upgrade candidate to the lab’s current 35B-A3B model, prioritising research quality, coding, long-document analysis, and practical local deployment.</w:t>
      </w:r>
    </w:p>
    <w:p w:rsidR="00BD11D4" w:rsidRDefault="00000000">
      <w:pPr>
        <w:pStyle w:val="Heading1"/>
      </w:pPr>
      <w:r>
        <w:t>1. Model comparison</w:t>
      </w:r>
    </w:p>
    <w:tbl>
      <w:tblPr>
        <w:tblStyle w:val="TableGrid"/>
        <w:tblW w:w="0" w:type="auto"/>
        <w:jc w:val="center"/>
        <w:tblLook w:val="04A0" w:firstRow="1" w:lastRow="0" w:firstColumn="1" w:lastColumn="0" w:noHBand="0" w:noVBand="1"/>
      </w:tblPr>
      <w:tblGrid>
        <w:gridCol w:w="1699"/>
        <w:gridCol w:w="3960"/>
        <w:gridCol w:w="4392"/>
      </w:tblGrid>
      <w:tr w:rsidR="00BD11D4">
        <w:trPr>
          <w:jc w:val="center"/>
        </w:trPr>
        <w:tc>
          <w:tcPr>
            <w:tcW w:w="1699" w:type="dxa"/>
            <w:shd w:val="clear" w:color="auto" w:fill="D9D9D9"/>
            <w:vAlign w:val="center"/>
          </w:tcPr>
          <w:p w:rsidR="00BD11D4" w:rsidRDefault="00000000">
            <w:pPr>
              <w:spacing w:after="0"/>
            </w:pPr>
            <w:r>
              <w:rPr>
                <w:b/>
                <w:sz w:val="14"/>
              </w:rPr>
              <w:t>Dimension</w:t>
            </w:r>
          </w:p>
        </w:tc>
        <w:tc>
          <w:tcPr>
            <w:tcW w:w="3960" w:type="dxa"/>
            <w:shd w:val="clear" w:color="auto" w:fill="D9D9D9"/>
            <w:vAlign w:val="center"/>
          </w:tcPr>
          <w:p w:rsidR="00BD11D4" w:rsidRDefault="00000000">
            <w:pPr>
              <w:spacing w:after="0"/>
            </w:pPr>
            <w:r>
              <w:rPr>
                <w:b/>
                <w:sz w:val="14"/>
              </w:rPr>
              <w:t>Current: Qwen3.6-35B-A3B</w:t>
            </w:r>
          </w:p>
        </w:tc>
        <w:tc>
          <w:tcPr>
            <w:tcW w:w="4392" w:type="dxa"/>
            <w:shd w:val="clear" w:color="auto" w:fill="D9D9D9"/>
            <w:vAlign w:val="center"/>
          </w:tcPr>
          <w:p w:rsidR="00BD11D4" w:rsidRDefault="00000000">
            <w:pPr>
              <w:spacing w:after="0"/>
            </w:pPr>
            <w:r>
              <w:rPr>
                <w:b/>
                <w:sz w:val="14"/>
              </w:rPr>
              <w:t>Candidate: Qwen3-Next-80B-A3B-Instruct</w:t>
            </w:r>
          </w:p>
        </w:tc>
      </w:tr>
      <w:tr w:rsidR="00BD11D4">
        <w:trPr>
          <w:jc w:val="center"/>
        </w:trPr>
        <w:tc>
          <w:tcPr>
            <w:tcW w:w="1699" w:type="dxa"/>
            <w:vAlign w:val="center"/>
          </w:tcPr>
          <w:p w:rsidR="00BD11D4" w:rsidRDefault="00000000">
            <w:pPr>
              <w:spacing w:after="0"/>
            </w:pPr>
            <w:r>
              <w:rPr>
                <w:sz w:val="14"/>
              </w:rPr>
              <w:t>Architecture / size</w:t>
            </w:r>
          </w:p>
        </w:tc>
        <w:tc>
          <w:tcPr>
            <w:tcW w:w="3960" w:type="dxa"/>
            <w:vAlign w:val="center"/>
          </w:tcPr>
          <w:p w:rsidR="00BD11D4" w:rsidRDefault="00000000">
            <w:pPr>
              <w:spacing w:after="0"/>
            </w:pPr>
            <w:r>
              <w:rPr>
                <w:sz w:val="14"/>
              </w:rPr>
              <w:t>Mixture of Experts (MoE); 35B total, ~3B active/token.</w:t>
            </w:r>
          </w:p>
        </w:tc>
        <w:tc>
          <w:tcPr>
            <w:tcW w:w="4392" w:type="dxa"/>
            <w:vAlign w:val="center"/>
          </w:tcPr>
          <w:p w:rsidR="00BD11D4" w:rsidRDefault="00000000">
            <w:pPr>
              <w:spacing w:after="0"/>
            </w:pPr>
            <w:r>
              <w:rPr>
                <w:sz w:val="14"/>
              </w:rPr>
              <w:t>Sparse MoE with hybrid attention; 80B total, ~3B active/token.</w:t>
            </w:r>
          </w:p>
        </w:tc>
      </w:tr>
      <w:tr w:rsidR="00BD11D4">
        <w:trPr>
          <w:jc w:val="center"/>
        </w:trPr>
        <w:tc>
          <w:tcPr>
            <w:tcW w:w="1699" w:type="dxa"/>
            <w:vAlign w:val="center"/>
          </w:tcPr>
          <w:p w:rsidR="00BD11D4" w:rsidRDefault="00000000">
            <w:pPr>
              <w:spacing w:after="0"/>
            </w:pPr>
            <w:r>
              <w:rPr>
                <w:sz w:val="14"/>
              </w:rPr>
              <w:t>Context window</w:t>
            </w:r>
          </w:p>
        </w:tc>
        <w:tc>
          <w:tcPr>
            <w:tcW w:w="3960" w:type="dxa"/>
            <w:vAlign w:val="center"/>
          </w:tcPr>
          <w:p w:rsidR="00BD11D4" w:rsidRDefault="00000000">
            <w:pPr>
              <w:spacing w:after="0"/>
            </w:pPr>
            <w:r>
              <w:rPr>
                <w:sz w:val="14"/>
              </w:rPr>
              <w:t>262K native; documented extension up to ~1M tokens.</w:t>
            </w:r>
          </w:p>
        </w:tc>
        <w:tc>
          <w:tcPr>
            <w:tcW w:w="4392" w:type="dxa"/>
            <w:vAlign w:val="center"/>
          </w:tcPr>
          <w:p w:rsidR="00BD11D4" w:rsidRDefault="00000000">
            <w:pPr>
              <w:spacing w:after="0"/>
            </w:pPr>
            <w:r>
              <w:rPr>
                <w:sz w:val="14"/>
              </w:rPr>
              <w:t>262K native; documented extension up to ~1M tokens.</w:t>
            </w:r>
          </w:p>
        </w:tc>
      </w:tr>
      <w:tr w:rsidR="00BD11D4">
        <w:trPr>
          <w:jc w:val="center"/>
        </w:trPr>
        <w:tc>
          <w:tcPr>
            <w:tcW w:w="1699" w:type="dxa"/>
            <w:vAlign w:val="center"/>
          </w:tcPr>
          <w:p w:rsidR="00BD11D4" w:rsidRDefault="00000000">
            <w:pPr>
              <w:spacing w:after="0"/>
            </w:pPr>
            <w:r>
              <w:rPr>
                <w:sz w:val="14"/>
              </w:rPr>
              <w:t>Long-context design</w:t>
            </w:r>
          </w:p>
        </w:tc>
        <w:tc>
          <w:tcPr>
            <w:tcW w:w="3960" w:type="dxa"/>
            <w:vAlign w:val="center"/>
          </w:tcPr>
          <w:p w:rsidR="00BD11D4" w:rsidRDefault="00000000">
            <w:pPr>
              <w:spacing w:after="0"/>
            </w:pPr>
            <w:r>
              <w:rPr>
                <w:sz w:val="14"/>
              </w:rPr>
              <w:t>Hybrid Gated DeltaNet + gated attention.</w:t>
            </w:r>
          </w:p>
        </w:tc>
        <w:tc>
          <w:tcPr>
            <w:tcW w:w="4392" w:type="dxa"/>
            <w:vAlign w:val="center"/>
          </w:tcPr>
          <w:p w:rsidR="00BD11D4" w:rsidRDefault="00000000">
            <w:pPr>
              <w:spacing w:after="0"/>
            </w:pPr>
            <w:r>
              <w:rPr>
                <w:sz w:val="14"/>
              </w:rPr>
              <w:t>Hybrid Gated DeltaNet + gated attention; designed for efficient long-context inference.</w:t>
            </w:r>
          </w:p>
        </w:tc>
      </w:tr>
      <w:tr w:rsidR="00BD11D4">
        <w:trPr>
          <w:jc w:val="center"/>
        </w:trPr>
        <w:tc>
          <w:tcPr>
            <w:tcW w:w="1699" w:type="dxa"/>
            <w:vAlign w:val="center"/>
          </w:tcPr>
          <w:p w:rsidR="00BD11D4" w:rsidRDefault="00000000">
            <w:pPr>
              <w:spacing w:after="0"/>
            </w:pPr>
            <w:r>
              <w:rPr>
                <w:sz w:val="14"/>
              </w:rPr>
              <w:t>Coding &amp; agentic tasks</w:t>
            </w:r>
          </w:p>
        </w:tc>
        <w:tc>
          <w:tcPr>
            <w:tcW w:w="3960" w:type="dxa"/>
            <w:vAlign w:val="center"/>
          </w:tcPr>
          <w:p w:rsidR="00BD11D4" w:rsidRDefault="00000000">
            <w:pPr>
              <w:spacing w:after="0"/>
            </w:pPr>
            <w:r>
              <w:rPr>
                <w:sz w:val="14"/>
              </w:rPr>
              <w:t>Newer Qwen3.6 model; strong focus on agentic coding and multimodal capabilities.</w:t>
            </w:r>
          </w:p>
        </w:tc>
        <w:tc>
          <w:tcPr>
            <w:tcW w:w="4392" w:type="dxa"/>
            <w:vAlign w:val="center"/>
          </w:tcPr>
          <w:p w:rsidR="00BD11D4" w:rsidRDefault="00000000">
            <w:pPr>
              <w:spacing w:after="0"/>
            </w:pPr>
            <w:r>
              <w:rPr>
                <w:sz w:val="14"/>
              </w:rPr>
              <w:t>Strong coding benchmark results reported by Qwen; evaluate against Qwen3.6 on your own repositories and tools.</w:t>
            </w:r>
          </w:p>
        </w:tc>
      </w:tr>
      <w:tr w:rsidR="00BD11D4">
        <w:trPr>
          <w:jc w:val="center"/>
        </w:trPr>
        <w:tc>
          <w:tcPr>
            <w:tcW w:w="1699" w:type="dxa"/>
            <w:vAlign w:val="center"/>
          </w:tcPr>
          <w:p w:rsidR="00BD11D4" w:rsidRDefault="00000000">
            <w:pPr>
              <w:spacing w:after="0"/>
            </w:pPr>
            <w:r>
              <w:rPr>
                <w:sz w:val="14"/>
              </w:rPr>
              <w:t>Research / reasoning</w:t>
            </w:r>
          </w:p>
        </w:tc>
        <w:tc>
          <w:tcPr>
            <w:tcW w:w="3960" w:type="dxa"/>
            <w:vAlign w:val="center"/>
          </w:tcPr>
          <w:p w:rsidR="00BD11D4" w:rsidRDefault="00000000">
            <w:pPr>
              <w:spacing w:after="0"/>
            </w:pPr>
            <w:r>
              <w:rPr>
                <w:sz w:val="14"/>
              </w:rPr>
              <w:t>Good baseline for general research and coding workflows.</w:t>
            </w:r>
          </w:p>
        </w:tc>
        <w:tc>
          <w:tcPr>
            <w:tcW w:w="4392" w:type="dxa"/>
            <w:vAlign w:val="center"/>
          </w:tcPr>
          <w:p w:rsidR="00BD11D4" w:rsidRDefault="00000000">
            <w:pPr>
              <w:spacing w:after="0"/>
            </w:pPr>
            <w:r>
              <w:rPr>
                <w:sz w:val="14"/>
              </w:rPr>
              <w:t>Larger total capacity may help complex knowledge tasks; published results are competitive, not proof of universal superiority.</w:t>
            </w:r>
          </w:p>
        </w:tc>
      </w:tr>
      <w:tr w:rsidR="00BD11D4">
        <w:trPr>
          <w:jc w:val="center"/>
        </w:trPr>
        <w:tc>
          <w:tcPr>
            <w:tcW w:w="1699" w:type="dxa"/>
            <w:vAlign w:val="center"/>
          </w:tcPr>
          <w:p w:rsidR="00BD11D4" w:rsidRDefault="00000000">
            <w:pPr>
              <w:spacing w:after="0"/>
            </w:pPr>
            <w:r>
              <w:rPr>
                <w:sz w:val="14"/>
              </w:rPr>
              <w:t>Multimodal</w:t>
            </w:r>
          </w:p>
        </w:tc>
        <w:tc>
          <w:tcPr>
            <w:tcW w:w="3960" w:type="dxa"/>
            <w:vAlign w:val="center"/>
          </w:tcPr>
          <w:p w:rsidR="00BD11D4" w:rsidRDefault="00000000">
            <w:pPr>
              <w:spacing w:after="0"/>
            </w:pPr>
            <w:r>
              <w:rPr>
                <w:sz w:val="14"/>
              </w:rPr>
              <w:t>Includes vision-language capability.</w:t>
            </w:r>
          </w:p>
        </w:tc>
        <w:tc>
          <w:tcPr>
            <w:tcW w:w="4392" w:type="dxa"/>
            <w:vAlign w:val="center"/>
          </w:tcPr>
          <w:p w:rsidR="00BD11D4" w:rsidRDefault="00000000">
            <w:pPr>
              <w:spacing w:after="0"/>
            </w:pPr>
            <w:r>
              <w:rPr>
                <w:sz w:val="14"/>
              </w:rPr>
              <w:t>This Instruct checkpoint is primarily text/instruct; do not assume parity with Qwen3.6 vision features.</w:t>
            </w:r>
          </w:p>
        </w:tc>
      </w:tr>
      <w:tr w:rsidR="00BD11D4">
        <w:trPr>
          <w:jc w:val="center"/>
        </w:trPr>
        <w:tc>
          <w:tcPr>
            <w:tcW w:w="1699" w:type="dxa"/>
            <w:vAlign w:val="center"/>
          </w:tcPr>
          <w:p w:rsidR="00BD11D4" w:rsidRDefault="00000000">
            <w:pPr>
              <w:spacing w:after="0"/>
            </w:pPr>
            <w:r>
              <w:rPr>
                <w:sz w:val="14"/>
              </w:rPr>
              <w:t>Weights &amp; licence</w:t>
            </w:r>
          </w:p>
        </w:tc>
        <w:tc>
          <w:tcPr>
            <w:tcW w:w="3960" w:type="dxa"/>
            <w:vAlign w:val="center"/>
          </w:tcPr>
          <w:p w:rsidR="00BD11D4" w:rsidRDefault="00000000">
            <w:pPr>
              <w:spacing w:after="0"/>
            </w:pPr>
            <w:r>
              <w:rPr>
                <w:sz w:val="14"/>
              </w:rPr>
              <w:t>Open weights; Apache 2.0 per official Qwen repository.</w:t>
            </w:r>
          </w:p>
        </w:tc>
        <w:tc>
          <w:tcPr>
            <w:tcW w:w="4392" w:type="dxa"/>
            <w:vAlign w:val="center"/>
          </w:tcPr>
          <w:p w:rsidR="00BD11D4" w:rsidRDefault="00000000">
            <w:pPr>
              <w:spacing w:after="0"/>
            </w:pPr>
            <w:r>
              <w:rPr>
                <w:sz w:val="14"/>
              </w:rPr>
              <w:t>Open weights; check the specific model card and licence files before institutional deployment.</w:t>
            </w:r>
          </w:p>
        </w:tc>
      </w:tr>
    </w:tbl>
    <w:p w:rsidR="00BD11D4" w:rsidRDefault="00BD11D4">
      <w:pPr>
        <w:spacing w:after="0"/>
      </w:pPr>
    </w:p>
    <w:p w:rsidR="00BD11D4" w:rsidRDefault="00000000">
      <w:pPr>
        <w:pStyle w:val="Heading1"/>
      </w:pPr>
      <w:r>
        <w:t>2. Local deployment implications</w:t>
      </w:r>
    </w:p>
    <w:tbl>
      <w:tblPr>
        <w:tblStyle w:val="TableGrid"/>
        <w:tblW w:w="0" w:type="auto"/>
        <w:jc w:val="center"/>
        <w:tblLook w:val="04A0" w:firstRow="1" w:lastRow="0" w:firstColumn="1" w:lastColumn="0" w:noHBand="0" w:noVBand="1"/>
      </w:tblPr>
      <w:tblGrid>
        <w:gridCol w:w="2088"/>
        <w:gridCol w:w="3816"/>
        <w:gridCol w:w="4147"/>
      </w:tblGrid>
      <w:tr w:rsidR="00BD11D4">
        <w:trPr>
          <w:jc w:val="center"/>
        </w:trPr>
        <w:tc>
          <w:tcPr>
            <w:tcW w:w="2088" w:type="dxa"/>
            <w:shd w:val="clear" w:color="auto" w:fill="D9D9D9"/>
            <w:vAlign w:val="center"/>
          </w:tcPr>
          <w:p w:rsidR="00BD11D4" w:rsidRDefault="00000000">
            <w:pPr>
              <w:spacing w:after="0"/>
            </w:pPr>
            <w:r>
              <w:rPr>
                <w:b/>
                <w:sz w:val="14"/>
              </w:rPr>
              <w:t>Practical factor</w:t>
            </w:r>
          </w:p>
        </w:tc>
        <w:tc>
          <w:tcPr>
            <w:tcW w:w="3816" w:type="dxa"/>
            <w:shd w:val="clear" w:color="auto" w:fill="D9D9D9"/>
            <w:vAlign w:val="center"/>
          </w:tcPr>
          <w:p w:rsidR="00BD11D4" w:rsidRDefault="00000000">
            <w:pPr>
              <w:spacing w:after="0"/>
            </w:pPr>
            <w:r>
              <w:rPr>
                <w:b/>
                <w:sz w:val="14"/>
              </w:rPr>
              <w:t>35B-A3B (current)</w:t>
            </w:r>
          </w:p>
        </w:tc>
        <w:tc>
          <w:tcPr>
            <w:tcW w:w="4147" w:type="dxa"/>
            <w:shd w:val="clear" w:color="auto" w:fill="D9D9D9"/>
            <w:vAlign w:val="center"/>
          </w:tcPr>
          <w:p w:rsidR="00BD11D4" w:rsidRDefault="00000000">
            <w:pPr>
              <w:spacing w:after="0"/>
            </w:pPr>
            <w:r>
              <w:rPr>
                <w:b/>
                <w:sz w:val="14"/>
              </w:rPr>
              <w:t>80B-A3B (candidate)</w:t>
            </w:r>
          </w:p>
        </w:tc>
      </w:tr>
      <w:tr w:rsidR="00BD11D4">
        <w:trPr>
          <w:jc w:val="center"/>
        </w:trPr>
        <w:tc>
          <w:tcPr>
            <w:tcW w:w="2088" w:type="dxa"/>
            <w:vAlign w:val="center"/>
          </w:tcPr>
          <w:p w:rsidR="00BD11D4" w:rsidRDefault="00000000">
            <w:pPr>
              <w:spacing w:after="0"/>
            </w:pPr>
            <w:r>
              <w:rPr>
                <w:sz w:val="14"/>
              </w:rPr>
              <w:t>Approx. 4-bit weight storage</w:t>
            </w:r>
          </w:p>
        </w:tc>
        <w:tc>
          <w:tcPr>
            <w:tcW w:w="3816" w:type="dxa"/>
            <w:vAlign w:val="center"/>
          </w:tcPr>
          <w:p w:rsidR="00BD11D4" w:rsidRDefault="00000000">
            <w:pPr>
              <w:spacing w:after="0"/>
            </w:pPr>
            <w:r>
              <w:rPr>
                <w:sz w:val="14"/>
              </w:rPr>
              <w:t>~18–23 GB</w:t>
            </w:r>
          </w:p>
        </w:tc>
        <w:tc>
          <w:tcPr>
            <w:tcW w:w="4147" w:type="dxa"/>
            <w:vAlign w:val="center"/>
          </w:tcPr>
          <w:p w:rsidR="00BD11D4" w:rsidRDefault="00000000">
            <w:pPr>
              <w:spacing w:after="0"/>
            </w:pPr>
            <w:r>
              <w:rPr>
                <w:sz w:val="14"/>
              </w:rPr>
              <w:t>~40–48 GB</w:t>
            </w:r>
          </w:p>
        </w:tc>
      </w:tr>
      <w:tr w:rsidR="00BD11D4">
        <w:trPr>
          <w:jc w:val="center"/>
        </w:trPr>
        <w:tc>
          <w:tcPr>
            <w:tcW w:w="2088" w:type="dxa"/>
            <w:vAlign w:val="center"/>
          </w:tcPr>
          <w:p w:rsidR="00BD11D4" w:rsidRDefault="00000000">
            <w:pPr>
              <w:spacing w:after="0"/>
            </w:pPr>
            <w:r>
              <w:rPr>
                <w:sz w:val="14"/>
              </w:rPr>
              <w:t>Memory beyond weights</w:t>
            </w:r>
          </w:p>
        </w:tc>
        <w:tc>
          <w:tcPr>
            <w:tcW w:w="3816" w:type="dxa"/>
            <w:vAlign w:val="center"/>
          </w:tcPr>
          <w:p w:rsidR="00BD11D4" w:rsidRDefault="00000000">
            <w:pPr>
              <w:spacing w:after="0"/>
            </w:pPr>
            <w:r>
              <w:rPr>
                <w:sz w:val="14"/>
              </w:rPr>
              <w:t>Additional room needed for runtime, KV cache, context, and concurrent users.</w:t>
            </w:r>
          </w:p>
        </w:tc>
        <w:tc>
          <w:tcPr>
            <w:tcW w:w="4147" w:type="dxa"/>
            <w:vAlign w:val="center"/>
          </w:tcPr>
          <w:p w:rsidR="00BD11D4" w:rsidRDefault="00000000">
            <w:pPr>
              <w:spacing w:after="0"/>
            </w:pPr>
            <w:r>
              <w:rPr>
                <w:sz w:val="14"/>
              </w:rPr>
              <w:t>More memory still needed for runtime, KV cache, context, and concurrency; long prompts can materially increase use.</w:t>
            </w:r>
          </w:p>
        </w:tc>
      </w:tr>
      <w:tr w:rsidR="00BD11D4">
        <w:trPr>
          <w:jc w:val="center"/>
        </w:trPr>
        <w:tc>
          <w:tcPr>
            <w:tcW w:w="2088" w:type="dxa"/>
            <w:vAlign w:val="center"/>
          </w:tcPr>
          <w:p w:rsidR="00BD11D4" w:rsidRDefault="00000000">
            <w:pPr>
              <w:spacing w:after="0"/>
            </w:pPr>
            <w:r>
              <w:rPr>
                <w:sz w:val="14"/>
              </w:rPr>
              <w:t>Expected inference cost</w:t>
            </w:r>
          </w:p>
        </w:tc>
        <w:tc>
          <w:tcPr>
            <w:tcW w:w="3816" w:type="dxa"/>
            <w:vAlign w:val="center"/>
          </w:tcPr>
          <w:p w:rsidR="00BD11D4" w:rsidRDefault="00000000">
            <w:pPr>
              <w:spacing w:after="0"/>
            </w:pPr>
            <w:r>
              <w:rPr>
                <w:sz w:val="14"/>
              </w:rPr>
              <w:t>Lower memory bandwidth / storage pressure; likely easier to serve multiple sessions.</w:t>
            </w:r>
          </w:p>
        </w:tc>
        <w:tc>
          <w:tcPr>
            <w:tcW w:w="4147" w:type="dxa"/>
            <w:vAlign w:val="center"/>
          </w:tcPr>
          <w:p w:rsidR="00BD11D4" w:rsidRDefault="00000000">
            <w:pPr>
              <w:spacing w:after="0"/>
            </w:pPr>
            <w:r>
              <w:rPr>
                <w:sz w:val="14"/>
              </w:rPr>
              <w:t>Only ~3B active/token, so compute can remain efficient, but larger resident weights increase memory traffic and footprint.</w:t>
            </w:r>
          </w:p>
        </w:tc>
      </w:tr>
      <w:tr w:rsidR="00BD11D4">
        <w:trPr>
          <w:jc w:val="center"/>
        </w:trPr>
        <w:tc>
          <w:tcPr>
            <w:tcW w:w="2088" w:type="dxa"/>
            <w:vAlign w:val="center"/>
          </w:tcPr>
          <w:p w:rsidR="00BD11D4" w:rsidRDefault="00000000">
            <w:pPr>
              <w:spacing w:after="0"/>
            </w:pPr>
            <w:r>
              <w:rPr>
                <w:sz w:val="14"/>
              </w:rPr>
              <w:t>256 GB unified-memory Mac Studio</w:t>
            </w:r>
          </w:p>
        </w:tc>
        <w:tc>
          <w:tcPr>
            <w:tcW w:w="3816" w:type="dxa"/>
            <w:vAlign w:val="center"/>
          </w:tcPr>
          <w:p w:rsidR="00BD11D4" w:rsidRDefault="00000000">
            <w:pPr>
              <w:spacing w:after="0"/>
            </w:pPr>
            <w:r>
              <w:rPr>
                <w:sz w:val="14"/>
              </w:rPr>
              <w:t>Comfortable candidate for local testing with substantial headroom.</w:t>
            </w:r>
          </w:p>
        </w:tc>
        <w:tc>
          <w:tcPr>
            <w:tcW w:w="4147" w:type="dxa"/>
            <w:vAlign w:val="center"/>
          </w:tcPr>
          <w:p w:rsidR="00BD11D4" w:rsidRDefault="00000000">
            <w:pPr>
              <w:spacing w:after="0"/>
            </w:pPr>
            <w:r>
              <w:rPr>
                <w:sz w:val="14"/>
              </w:rPr>
              <w:t>Likely practical at 4-bit quantisation, with room for runtime and useful context; validate the chosen MLX/Ollama build.</w:t>
            </w:r>
          </w:p>
        </w:tc>
      </w:tr>
      <w:tr w:rsidR="00BD11D4">
        <w:trPr>
          <w:jc w:val="center"/>
        </w:trPr>
        <w:tc>
          <w:tcPr>
            <w:tcW w:w="2088" w:type="dxa"/>
            <w:vAlign w:val="center"/>
          </w:tcPr>
          <w:p w:rsidR="00BD11D4" w:rsidRDefault="00000000">
            <w:pPr>
              <w:spacing w:after="0"/>
            </w:pPr>
            <w:r>
              <w:rPr>
                <w:sz w:val="14"/>
              </w:rPr>
              <w:t>Recommended role</w:t>
            </w:r>
          </w:p>
        </w:tc>
        <w:tc>
          <w:tcPr>
            <w:tcW w:w="3816" w:type="dxa"/>
            <w:vAlign w:val="center"/>
          </w:tcPr>
          <w:p w:rsidR="00BD11D4" w:rsidRDefault="00000000">
            <w:pPr>
              <w:spacing w:after="0"/>
            </w:pPr>
            <w:r>
              <w:rPr>
                <w:sz w:val="14"/>
              </w:rPr>
              <w:t>Fast default model for everyday coding, multimodal work, and interactive tasks.</w:t>
            </w:r>
          </w:p>
        </w:tc>
        <w:tc>
          <w:tcPr>
            <w:tcW w:w="4147" w:type="dxa"/>
            <w:vAlign w:val="center"/>
          </w:tcPr>
          <w:p w:rsidR="00BD11D4" w:rsidRDefault="00000000">
            <w:pPr>
              <w:spacing w:after="0"/>
            </w:pPr>
            <w:r>
              <w:rPr>
                <w:sz w:val="14"/>
              </w:rPr>
              <w:t>Higher-capacity research model to benchmark for difficult coding, synthesis, and long-document workloads.</w:t>
            </w:r>
          </w:p>
        </w:tc>
      </w:tr>
    </w:tbl>
    <w:p w:rsidR="00BD11D4" w:rsidRDefault="00BD11D4">
      <w:pPr>
        <w:spacing w:after="0"/>
      </w:pPr>
    </w:p>
    <w:p w:rsidR="00BD11D4" w:rsidRDefault="00000000">
      <w:pPr>
        <w:pStyle w:val="Heading1"/>
      </w:pPr>
      <w:r>
        <w:t>3. Recommendation for the AI lab</w:t>
      </w:r>
    </w:p>
    <w:p w:rsidR="00BD11D4" w:rsidRDefault="00000000">
      <w:r>
        <w:rPr>
          <w:b/>
        </w:rPr>
        <w:t xml:space="preserve">Pilot Qwen3-Next-80B-A3B-Instruct alongside Qwen3.6-35B-A3B, rather than replacing the current model immediately. </w:t>
      </w:r>
      <w:r>
        <w:t>Run a fixed evaluation set covering internal code debugging, multi-file repository changes, research synthesis with citations, long PDFs, instruction following, latency, peak memory, and concurrent requests. Keep prompts, quantisation, context limits, and hardware settings consistent.</w:t>
      </w:r>
    </w:p>
    <w:p w:rsidR="00BD11D4" w:rsidRDefault="00000000">
      <w:r>
        <w:rPr>
          <w:b/>
        </w:rPr>
        <w:t xml:space="preserve">Decision rule: </w:t>
      </w:r>
      <w:r>
        <w:t>Promote the 80B model for workloads where it delivers measurable quality gains without unacceptable latency or memory pressure. Retain the 35B model for faster routine tasks. Parameter count alone is not an adequate selection metric.</w:t>
      </w:r>
    </w:p>
    <w:p w:rsidR="00BD11D4" w:rsidRDefault="00000000">
      <w:pPr>
        <w:pStyle w:val="Heading1"/>
      </w:pPr>
      <w:r>
        <w:t>Sources and assumptions</w:t>
      </w:r>
    </w:p>
    <w:p w:rsidR="00BD11D4" w:rsidRDefault="00000000">
      <w:pPr>
        <w:ind w:left="173" w:hanging="144"/>
      </w:pPr>
      <w:r>
        <w:rPr>
          <w:sz w:val="14"/>
        </w:rPr>
        <w:t>• Qwen3.6-35B-A3B model card: https://huggingface.co/Qwen/Qwen3.6-35B-A3B</w:t>
      </w:r>
    </w:p>
    <w:p w:rsidR="00BD11D4" w:rsidRDefault="00000000">
      <w:pPr>
        <w:ind w:left="173" w:hanging="144"/>
      </w:pPr>
      <w:r>
        <w:rPr>
          <w:sz w:val="14"/>
        </w:rPr>
        <w:t>• Qwen3-Next-80B-A3B-Instruct model card: https://huggingface.co/Qwen/Qwen3-Next-80B-A3B-Instruct</w:t>
      </w:r>
    </w:p>
    <w:p w:rsidR="00BD11D4" w:rsidRDefault="00000000">
      <w:pPr>
        <w:ind w:left="173" w:hanging="144"/>
      </w:pPr>
      <w:r>
        <w:rPr>
          <w:sz w:val="14"/>
        </w:rPr>
        <w:t>• Qwen3-Next overview: https://qwen.ai/blog?id=qwen3-next</w:t>
      </w:r>
    </w:p>
    <w:p w:rsidR="00BD11D4" w:rsidRDefault="00000000">
      <w:pPr>
        <w:spacing w:before="20"/>
      </w:pPr>
      <w:r>
        <w:rPr>
          <w:i/>
          <w:sz w:val="14"/>
        </w:rPr>
        <w:t>Memory figures are planning estimates for 4-bit weights, not guaranteed runtime measurements; actual usage depends on quantisation format, framework, context length, and concurrency. Published benchmark claims are vendor-reported and should be independently validated.</w:t>
      </w:r>
    </w:p>
    <w:sectPr w:rsidR="00BD11D4"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002549">
    <w:abstractNumId w:val="8"/>
  </w:num>
  <w:num w:numId="2" w16cid:durableId="250965844">
    <w:abstractNumId w:val="6"/>
  </w:num>
  <w:num w:numId="3" w16cid:durableId="1642736325">
    <w:abstractNumId w:val="5"/>
  </w:num>
  <w:num w:numId="4" w16cid:durableId="418213413">
    <w:abstractNumId w:val="4"/>
  </w:num>
  <w:num w:numId="5" w16cid:durableId="417754224">
    <w:abstractNumId w:val="7"/>
  </w:num>
  <w:num w:numId="6" w16cid:durableId="555967489">
    <w:abstractNumId w:val="3"/>
  </w:num>
  <w:num w:numId="7" w16cid:durableId="597367824">
    <w:abstractNumId w:val="2"/>
  </w:num>
  <w:num w:numId="8" w16cid:durableId="178664914">
    <w:abstractNumId w:val="1"/>
  </w:num>
  <w:num w:numId="9" w16cid:durableId="83919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59AE"/>
    <w:rsid w:val="00B47730"/>
    <w:rsid w:val="00BD11D4"/>
    <w:rsid w:val="00CB0664"/>
    <w:rsid w:val="00D77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1B365"/>
  <w14:defaultImageDpi w14:val="300"/>
  <w15:docId w15:val="{9311343D-307B-DA4A-B401-B06F5894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Subhojit Ghosh</cp:lastModifiedBy>
  <cp:revision>2</cp:revision>
  <dcterms:created xsi:type="dcterms:W3CDTF">2013-12-23T23:15:00Z</dcterms:created>
  <dcterms:modified xsi:type="dcterms:W3CDTF">2026-10-14T09:42:00Z</dcterms:modified>
  <cp:category/>
</cp:coreProperties>
</file>