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Qwen Model Comparison for an AI Research Lab</w:t>
      </w:r>
    </w:p>
    <w:p>
      <w:pPr>
        <w:jc w:val="center"/>
      </w:pPr>
      <w:r>
        <w:rPr>
          <w:b/>
          <w:sz w:val="20"/>
        </w:rPr>
        <w:t>Qwen2.5-72B-Instruct vs Qwen3.6-35B-A3B</w:t>
      </w:r>
    </w:p>
    <w:p>
      <w:pPr>
        <w:pStyle w:val="Heading1"/>
      </w:pPr>
      <w:r>
        <w:t>Executive summary</w:t>
      </w:r>
    </w:p>
    <w:p>
      <w:r>
        <w:t>Both models can support local research and development on a 256 GB Apple-silicon system. Qwen2.5-72B-Instruct is the larger, dense general-purpose model; Qwen3.6-35B-A3B is a newer mixture-of-experts (MoE), multimodal model with about 3B parameters active per token. For a shared AI lab, Qwen3.6 is the more practical first model to benchmark for interactive coding and agent workflows; retain Qwen2.5-72B as a quality comparison for difficult text-only tasks.</w:t>
      </w:r>
    </w:p>
    <w:p>
      <w:pPr>
        <w:pStyle w:val="Heading1"/>
      </w:pPr>
      <w:r>
        <w:t>Key technical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D9D9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  <w:t>Factor</w:t>
            </w:r>
          </w:p>
        </w:tc>
        <w:tc>
          <w:tcPr>
            <w:tcW w:type="dxa" w:w="36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D9D9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  <w:t>Qwen2.5-72B-Instruct</w:t>
            </w:r>
          </w:p>
        </w:tc>
        <w:tc>
          <w:tcPr>
            <w:tcW w:type="dxa" w:w="36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D9D9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  <w:t>Qwen3.6-35B-A3B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Architecture / size</w:t>
            </w:r>
          </w:p>
        </w:tc>
        <w:tc>
          <w:tcPr>
            <w:tcW w:type="dxa" w:w="36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Dense; approx. 72.7B parameters</w:t>
            </w:r>
          </w:p>
        </w:tc>
        <w:tc>
          <w:tcPr>
            <w:tcW w:type="dxa" w:w="36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MoE; 35B total, approx. 3B active/token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4-bit weight memory*</w:t>
            </w:r>
          </w:p>
        </w:tc>
        <w:tc>
          <w:tcPr>
            <w:tcW w:type="dxa" w:w="36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Roughly 40–45 GB</w:t>
            </w:r>
          </w:p>
        </w:tc>
        <w:tc>
          <w:tcPr>
            <w:tcW w:type="dxa" w:w="36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Roughly 20–24 GB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Context window</w:t>
            </w:r>
          </w:p>
        </w:tc>
        <w:tc>
          <w:tcPr>
            <w:tcW w:type="dxa" w:w="36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Up to 128K tokens; long-context setup may need configuration</w:t>
            </w:r>
          </w:p>
        </w:tc>
        <w:tc>
          <w:tcPr>
            <w:tcW w:type="dxa" w:w="36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Model card lists up to 262K tokens; runtime support/configuration matters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Modalities</w:t>
            </w:r>
          </w:p>
        </w:tc>
        <w:tc>
          <w:tcPr>
            <w:tcW w:type="dxa" w:w="36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Text-focused</w:t>
            </w:r>
          </w:p>
        </w:tc>
        <w:tc>
          <w:tcPr>
            <w:tcW w:type="dxa" w:w="36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Text and image input (multimodal)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Coding &amp; debugging</w:t>
            </w:r>
          </w:p>
        </w:tc>
        <w:tc>
          <w:tcPr>
            <w:tcW w:type="dxa" w:w="36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Strong general coding, code explanation and debugging</w:t>
            </w:r>
          </w:p>
        </w:tc>
        <w:tc>
          <w:tcPr>
            <w:tcW w:type="dxa" w:w="36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Designed with stronger agentic/repository coding workflows in mind; benchmark on your codebase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Research &amp; long documents</w:t>
            </w:r>
          </w:p>
        </w:tc>
        <w:tc>
          <w:tcPr>
            <w:tcW w:type="dxa" w:w="36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Strong text synthesis, structured data and long-text tasks</w:t>
            </w:r>
          </w:p>
        </w:tc>
        <w:tc>
          <w:tcPr>
            <w:tcW w:type="dxa" w:w="36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Long-context and multimodal document workflows; validate extraction and citation accuracy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Speed / concurrency</w:t>
            </w:r>
          </w:p>
        </w:tc>
        <w:tc>
          <w:tcPr>
            <w:tcW w:type="dxa" w:w="36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Larger weight footprint; may reduce room for caches and concurrent sessions</w:t>
            </w:r>
          </w:p>
        </w:tc>
        <w:tc>
          <w:tcPr>
            <w:tcW w:type="dxa" w:w="36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Smaller active compute and weight footprint may help responsiveness; actual speed depends on runtime/hardware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License</w:t>
            </w:r>
          </w:p>
        </w:tc>
        <w:tc>
          <w:tcPr>
            <w:tcW w:type="dxa" w:w="36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Qwen license; review its terms for intended use</w:t>
            </w:r>
          </w:p>
        </w:tc>
        <w:tc>
          <w:tcPr>
            <w:tcW w:type="dxa" w:w="36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Apache 2.0 listed on official model card</w:t>
            </w:r>
          </w:p>
        </w:tc>
      </w:tr>
    </w:tbl>
    <w:p>
      <w:pPr>
        <w:pStyle w:val="Heading1"/>
      </w:pPr>
      <w:r>
        <w:t>Fit for AI-lab workloads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23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D9D9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  <w:t>Workload</w:t>
            </w:r>
          </w:p>
        </w:tc>
        <w:tc>
          <w:tcPr>
            <w:tcW w:type="dxa" w:w="25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D9D9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  <w:t>Preferred starting point</w:t>
            </w:r>
          </w:p>
        </w:tc>
        <w:tc>
          <w:tcPr>
            <w:tcW w:type="dxa" w:w="436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D9D9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  <w:t>Reason</w:t>
            </w:r>
          </w:p>
        </w:tc>
      </w:tr>
      <w:tr>
        <w:tc>
          <w:tcPr>
            <w:tcW w:type="dxa" w:w="23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Everyday coding, debugging, agent workflows</w:t>
            </w:r>
          </w:p>
        </w:tc>
        <w:tc>
          <w:tcPr>
            <w:tcW w:type="dxa" w:w="25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Qwen3.6-35B-A3B</w:t>
            </w:r>
          </w:p>
        </w:tc>
        <w:tc>
          <w:tcPr>
            <w:tcW w:type="dxa" w:w="436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Newer coding/agent focus; lower memory footprint can leave more headroom for context and concurrent users.</w:t>
            </w:r>
          </w:p>
        </w:tc>
      </w:tr>
      <w:tr>
        <w:tc>
          <w:tcPr>
            <w:tcW w:type="dxa" w:w="23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Long reports and text-only synthesis</w:t>
            </w:r>
          </w:p>
        </w:tc>
        <w:tc>
          <w:tcPr>
            <w:tcW w:type="dxa" w:w="25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Benchmark both</w:t>
            </w:r>
          </w:p>
        </w:tc>
        <w:tc>
          <w:tcPr>
            <w:tcW w:type="dxa" w:w="436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Qwen2.5-72B has a larger dense model; Qwen3.6 offers a longer stated context and multimodal input. Quality must be tested on representative documents.</w:t>
            </w:r>
          </w:p>
        </w:tc>
      </w:tr>
      <w:tr>
        <w:tc>
          <w:tcPr>
            <w:tcW w:type="dxa" w:w="23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Scanned pages / image-based documents</w:t>
            </w:r>
          </w:p>
        </w:tc>
        <w:tc>
          <w:tcPr>
            <w:tcW w:type="dxa" w:w="25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Qwen3.6-35B-A3B</w:t>
            </w:r>
          </w:p>
        </w:tc>
        <w:tc>
          <w:tcPr>
            <w:tcW w:type="dxa" w:w="436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Supports image input; verify OCR-like extraction on your document types.</w:t>
            </w:r>
          </w:p>
        </w:tc>
      </w:tr>
      <w:tr>
        <w:tc>
          <w:tcPr>
            <w:tcW w:type="dxa" w:w="23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Maximum quality on difficult prompts</w:t>
            </w:r>
          </w:p>
        </w:tc>
        <w:tc>
          <w:tcPr>
            <w:tcW w:type="dxa" w:w="25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Benchmark both</w:t>
            </w:r>
          </w:p>
        </w:tc>
        <w:tc>
          <w:tcPr>
            <w:tcW w:type="dxa" w:w="436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Parameter count alone does not establish which model answers more accurately.</w:t>
            </w:r>
          </w:p>
        </w:tc>
      </w:tr>
    </w:tbl>
    <w:p>
      <w:pPr>
        <w:pStyle w:val="Heading1"/>
      </w:pPr>
      <w:r>
        <w:t>Recommendation</w:t>
      </w:r>
    </w:p>
    <w:p>
      <w:r>
        <w:t>Start by evaluating Qwen3.6-35B-A3B as the shared default because it combines coding-oriented improvements, multimodal capability and a smaller MoE active-parameter count. Keep Qwen2.5-72B-Instruct as a comparison model for research-heavy text tasks. Run the same internal test set on both: bug-fix accuracy, repository-level changes, document question answering, factual consistency, tokens/second, time-to-first-token and 5–10 concurrent requests. Do not select a production model from parameter count alone.</w:t>
      </w:r>
    </w:p>
    <w:p>
      <w:pPr>
        <w:spacing w:before="20"/>
      </w:pPr>
      <w:r>
        <w:rPr>
          <w:i/>
          <w:sz w:val="15"/>
        </w:rPr>
        <w:t>*Memory figures are rough 4-bit weight estimates, not total runtime requirements. KV cache, context length, quantization format and serving software add overhead. Verify current model cards and license terms before deployment.</w:t>
      </w:r>
    </w:p>
    <w:p>
      <w:pPr>
        <w:pStyle w:val="Heading1"/>
      </w:pPr>
      <w:r>
        <w:t>Official model references</w:t>
      </w:r>
    </w:p>
    <w:p>
      <w:pPr>
        <w:spacing w:after="0"/>
      </w:pPr>
      <w:r>
        <w:rPr>
          <w:b/>
        </w:rPr>
        <w:t xml:space="preserve">Qwen2.5-72B-Instruct: </w:t>
      </w:r>
      <w:r>
        <w:t>https://huggingface.co/Qwen/Qwen2.5-72B-Instruct</w:t>
        <w:br/>
      </w:r>
      <w:r>
        <w:rPr>
          <w:b/>
        </w:rPr>
        <w:t xml:space="preserve">Qwen3.6-35B-A3B: </w:t>
      </w:r>
      <w:r>
        <w:t>https://huggingface.co/Qwen/Qwen3.6-35B-A3B</w:t>
      </w:r>
    </w:p>
    <w:sectPr w:rsidR="00FC693F" w:rsidRPr="0006063C" w:rsidSect="00034616">
      <w:pgSz w:w="12240" w:h="15840"/>
      <w:pgMar w:top="749" w:right="893" w:bottom="749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