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VELOOP Rewards - Product Data Audit</w:t>
      </w:r>
    </w:p>
    <w:p>
      <w:pPr>
        <w:spacing w:after="120"/>
      </w:pPr>
      <w:r>
        <w:rPr>
          <w:i/>
          <w:iCs/>
          <w:sz w:val="22"/>
          <w:szCs w:val="22"/>
        </w:rPr>
        <w:t xml:space="preserve">Work Package A | Product Data Readiness Audit | Version 0.2 (revised 10 October 2026; first issued 28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20"/>
              <w:left w:type="dxa" w:w="150"/>
              <w:bottom w:type="dxa" w:w="120"/>
              <w:right w:type="dxa" w:w="150"/>
            </w:tcMar>
          </w:tcPr>
          <w:p>
            <w:r>
              <w:rPr>
                <w:i/>
                <w:iCs/>
                <w:color w:val="7A5B00"/>
                <w:sz w:val="20"/>
                <w:szCs w:val="20"/>
              </w:rPr>
              <w:t xml:space="preserve">Status legend used throughout: Confirmed = verified against a stated source. Proposed = design recommendation, not known to exist. To Be Verified = unknown, must be checked with Product or Engineering.</w:t>
            </w:r>
          </w:p>
        </w:tc>
      </w:tr>
    </w:tbl>
    <w:p>
      <w:pPr>
        <w:pStyle w:val="Heading1"/>
        <w:spacing w:after="140" w:before="280"/>
      </w:pPr>
      <w:r>
        <w:t xml:space="preserve">1. Purpose</w:t>
      </w:r>
    </w:p>
    <w:p>
      <w:pPr>
        <w:spacing w:after="120"/>
      </w:pPr>
      <w:r>
        <w:rPr>
          <w:sz w:val="22"/>
          <w:szCs w:val="22"/>
        </w:rPr>
        <w:t xml:space="preserve">This audit maps the data VELOOP will eventually need, across the product areas named in the assignment brief. It is a map, not an implementation: it identifies product areas, features, user actions, system outcomes, required data and open questions, without assuming that every named feature currently exists or is production-ready.</w:t>
      </w:r>
    </w:p>
    <w:p>
      <w:pPr>
        <w:pStyle w:val="Heading1"/>
        <w:spacing w:after="140" w:before="280"/>
      </w:pPr>
      <w:r>
        <w:t xml:space="preserve">2. Method</w:t>
      </w:r>
    </w:p>
    <w:p>
      <w:pPr>
        <w:pStyle w:val="ListParagraph"/>
        <w:numPr>
          <w:ilvl w:val="0"/>
          <w:numId w:val="1"/>
        </w:numPr>
        <w:spacing w:after="60"/>
      </w:pPr>
      <w:r>
        <w:t xml:space="preserve">Reviewed the assignment brief for the full scope of product areas and required deliverables.</w:t>
      </w:r>
    </w:p>
    <w:p>
      <w:pPr>
        <w:pStyle w:val="ListParagraph"/>
        <w:numPr>
          <w:ilvl w:val="0"/>
          <w:numId w:val="1"/>
        </w:numPr>
        <w:spacing w:after="60"/>
      </w:pPr>
      <w:r>
        <w:t xml:space="preserve">Searched publicly available sources for official VELOOP documentation; none was found, only third-party intern task repositories (recorded in the Source Register as unofficial and unverified).</w:t>
      </w:r>
    </w:p>
    <w:p>
      <w:pPr>
        <w:pStyle w:val="ListParagraph"/>
        <w:numPr>
          <w:ilvl w:val="0"/>
          <w:numId w:val="1"/>
        </w:numPr>
        <w:spacing w:after="60"/>
      </w:pPr>
      <w:r>
        <w:t xml:space="preserve">Reviewed the supplied simulated Users dataset to understand what fields a production system might plausibly carry.</w:t>
      </w:r>
    </w:p>
    <w:p>
      <w:pPr>
        <w:pStyle w:val="ListParagraph"/>
        <w:numPr>
          <w:ilvl w:val="0"/>
          <w:numId w:val="1"/>
        </w:numPr>
        <w:spacing w:after="60"/>
      </w:pPr>
      <w:r>
        <w:t xml:space="preserve">Built a Product Area Map and Data Coverage Matrix covering registration, login, onboarding, account lifecycle, tasks and sub-mechanics (ads, surveys, offers, games, tap &amp; earn, mining), engagement features (daily rewards, streaks, spins, missions, badges, levels, XP), rewards, wallet, withdrawals, referrals, feature engagement, and support/help content.</w:t>
      </w:r>
    </w:p>
    <w:p>
      <w:pPr>
        <w:pStyle w:val="Heading1"/>
        <w:spacing w:after="140" w:before="280"/>
      </w:pPr>
      <w:r>
        <w:t xml:space="preserve">3. Product area summary</w:t>
      </w:r>
    </w:p>
    <w:p>
      <w:pPr>
        <w:spacing w:after="120"/>
      </w:pPr>
      <w:r>
        <w:rPr>
          <w:sz w:val="22"/>
          <w:szCs w:val="22"/>
        </w:rPr>
        <w:t xml:space="preserve">41 rows were mapped across 16 product areas in the Coverage Matrix (see the Analytics Design Workbook, sheet Coverage_Matrix). Each row classifies the action as a User Event, a System Event, or a Business Outcome - a distinction the brief specifically asks for, because these three need different treatment: user events describe what someone did, system events describe what the platform did in response, and business outcomes are the result that actually matters to the business (a completed task, a credited reward, a converted referral).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4200"/>
      </w:tblGrid>
      <w:tr>
        <w:trPr>
          <w:tblHeader/>
        </w:trPr>
        <w:tc>
          <w:tcPr>
            <w:tcW w:type="dxa" w:w="3800"/>
            <w:shd w:fill="1F3864" w:val="clear"/>
            <w:tcMar>
              <w:top w:type="dxa" w:w="80"/>
              <w:left w:type="dxa" w:w="100"/>
              <w:bottom w:type="dxa" w:w="80"/>
              <w:right w:type="dxa" w:w="100"/>
            </w:tcMar>
            <w:vAlign w:val="center"/>
          </w:tcPr>
          <w:p>
            <w:r>
              <w:rPr>
                <w:b/>
                <w:bCs/>
                <w:color w:val="FFFFFF"/>
                <w:sz w:val="18"/>
                <w:szCs w:val="18"/>
              </w:rPr>
              <w:t xml:space="preserve">Product area</w:t>
            </w:r>
          </w:p>
        </w:tc>
        <w:tc>
          <w:tcPr>
            <w:tcW w:type="dxa" w:w="2200"/>
            <w:shd w:fill="1F3864" w:val="clear"/>
            <w:tcMar>
              <w:top w:type="dxa" w:w="80"/>
              <w:left w:type="dxa" w:w="100"/>
              <w:bottom w:type="dxa" w:w="80"/>
              <w:right w:type="dxa" w:w="100"/>
            </w:tcMar>
            <w:vAlign w:val="center"/>
          </w:tcPr>
          <w:p>
            <w:r>
              <w:rPr>
                <w:b/>
                <w:bCs/>
                <w:color w:val="FFFFFF"/>
                <w:sz w:val="18"/>
                <w:szCs w:val="18"/>
              </w:rPr>
              <w:t xml:space="preserve">Rows in matrix</w:t>
            </w:r>
          </w:p>
        </w:tc>
        <w:tc>
          <w:tcPr>
            <w:tcW w:type="dxa" w:w="4200"/>
            <w:shd w:fill="1F3864" w:val="clear"/>
            <w:tcMar>
              <w:top w:type="dxa" w:w="80"/>
              <w:left w:type="dxa" w:w="100"/>
              <w:bottom w:type="dxa" w:w="80"/>
              <w:right w:type="dxa" w:w="100"/>
            </w:tcMar>
            <w:vAlign w:val="center"/>
          </w:tcPr>
          <w:p>
            <w:r>
              <w:rPr>
                <w:b/>
                <w:bCs/>
                <w:color w:val="FFFFFF"/>
                <w:sz w:val="18"/>
                <w:szCs w:val="18"/>
              </w:rPr>
              <w:t xml:space="preserve">Example business outcome</w:t>
            </w:r>
          </w:p>
        </w:tc>
      </w:tr>
      <w:tr>
        <w:tc>
          <w:tcPr>
            <w:tcW w:type="dxa" w:w="3800"/>
            <w:tcMar>
              <w:top w:type="dxa" w:w="80"/>
              <w:left w:type="dxa" w:w="100"/>
              <w:bottom w:type="dxa" w:w="80"/>
              <w:right w:type="dxa" w:w="100"/>
            </w:tcMar>
            <w:vAlign w:val="center"/>
          </w:tcPr>
          <w:p>
            <w:r>
              <w:rPr>
                <w:sz w:val="18"/>
                <w:szCs w:val="18"/>
              </w:rPr>
              <w:t xml:space="preserve">Registration</w:t>
            </w:r>
          </w:p>
        </w:tc>
        <w:tc>
          <w:tcPr>
            <w:tcW w:type="dxa" w:w="2200"/>
            <w:tcMar>
              <w:top w:type="dxa" w:w="80"/>
              <w:left w:type="dxa" w:w="100"/>
              <w:bottom w:type="dxa" w:w="80"/>
              <w:right w:type="dxa" w:w="100"/>
            </w:tcMar>
            <w:vAlign w:val="center"/>
          </w:tcPr>
          <w:p>
            <w:r>
              <w:rPr>
                <w:sz w:val="18"/>
                <w:szCs w:val="18"/>
              </w:rPr>
              <w:t xml:space="preserve">3</w:t>
            </w:r>
          </w:p>
        </w:tc>
        <w:tc>
          <w:tcPr>
            <w:tcW w:type="dxa" w:w="4200"/>
            <w:tcMar>
              <w:top w:type="dxa" w:w="80"/>
              <w:left w:type="dxa" w:w="100"/>
              <w:bottom w:type="dxa" w:w="80"/>
              <w:right w:type="dxa" w:w="100"/>
            </w:tcMar>
            <w:vAlign w:val="center"/>
          </w:tcPr>
          <w:p>
            <w:r>
              <w:rPr>
                <w:sz w:val="18"/>
                <w:szCs w:val="18"/>
              </w:rPr>
              <w:t xml:space="preserve">Account created</w:t>
            </w:r>
          </w:p>
        </w:tc>
      </w:tr>
      <w:tr>
        <w:tc>
          <w:tcPr>
            <w:tcW w:type="dxa" w:w="3800"/>
            <w:shd w:fill="F2F2F2" w:val="clear"/>
            <w:tcMar>
              <w:top w:type="dxa" w:w="80"/>
              <w:left w:type="dxa" w:w="100"/>
              <w:bottom w:type="dxa" w:w="80"/>
              <w:right w:type="dxa" w:w="100"/>
            </w:tcMar>
            <w:vAlign w:val="center"/>
          </w:tcPr>
          <w:p>
            <w:r>
              <w:rPr>
                <w:sz w:val="18"/>
                <w:szCs w:val="18"/>
              </w:rPr>
              <w:t xml:space="preserve">Login</w:t>
            </w:r>
          </w:p>
        </w:tc>
        <w:tc>
          <w:tcPr>
            <w:tcW w:type="dxa" w:w="2200"/>
            <w:shd w:fill="F2F2F2" w:val="clear"/>
            <w:tcMar>
              <w:top w:type="dxa" w:w="80"/>
              <w:left w:type="dxa" w:w="100"/>
              <w:bottom w:type="dxa" w:w="80"/>
              <w:right w:type="dxa" w:w="100"/>
            </w:tcMar>
            <w:vAlign w:val="center"/>
          </w:tcPr>
          <w:p>
            <w:r>
              <w:rPr>
                <w:sz w:val="18"/>
                <w:szCs w:val="18"/>
              </w:rPr>
              <w:t xml:space="preserve">3</w:t>
            </w:r>
          </w:p>
        </w:tc>
        <w:tc>
          <w:tcPr>
            <w:tcW w:type="dxa" w:w="4200"/>
            <w:shd w:fill="F2F2F2" w:val="clear"/>
            <w:tcMar>
              <w:top w:type="dxa" w:w="80"/>
              <w:left w:type="dxa" w:w="100"/>
              <w:bottom w:type="dxa" w:w="80"/>
              <w:right w:type="dxa" w:w="100"/>
            </w:tcMar>
            <w:vAlign w:val="center"/>
          </w:tcPr>
          <w:p>
            <w:r>
              <w:rPr>
                <w:sz w:val="18"/>
                <w:szCs w:val="18"/>
              </w:rPr>
              <w:t xml:space="preserve">Returning user</w:t>
            </w:r>
          </w:p>
        </w:tc>
      </w:tr>
      <w:tr>
        <w:tc>
          <w:tcPr>
            <w:tcW w:type="dxa" w:w="3800"/>
            <w:tcMar>
              <w:top w:type="dxa" w:w="80"/>
              <w:left w:type="dxa" w:w="100"/>
              <w:bottom w:type="dxa" w:w="80"/>
              <w:right w:type="dxa" w:w="100"/>
            </w:tcMar>
            <w:vAlign w:val="center"/>
          </w:tcPr>
          <w:p>
            <w:r>
              <w:rPr>
                <w:sz w:val="18"/>
                <w:szCs w:val="18"/>
              </w:rPr>
              <w:t xml:space="preserve">Onboarding</w:t>
            </w:r>
          </w:p>
        </w:tc>
        <w:tc>
          <w:tcPr>
            <w:tcW w:type="dxa" w:w="2200"/>
            <w:tcMar>
              <w:top w:type="dxa" w:w="80"/>
              <w:left w:type="dxa" w:w="100"/>
              <w:bottom w:type="dxa" w:w="80"/>
              <w:right w:type="dxa" w:w="100"/>
            </w:tcMar>
            <w:vAlign w:val="center"/>
          </w:tcPr>
          <w:p>
            <w:r>
              <w:rPr>
                <w:sz w:val="18"/>
                <w:szCs w:val="18"/>
              </w:rPr>
              <w:t xml:space="preserve">2</w:t>
            </w:r>
          </w:p>
        </w:tc>
        <w:tc>
          <w:tcPr>
            <w:tcW w:type="dxa" w:w="4200"/>
            <w:tcMar>
              <w:top w:type="dxa" w:w="80"/>
              <w:left w:type="dxa" w:w="100"/>
              <w:bottom w:type="dxa" w:w="80"/>
              <w:right w:type="dxa" w:w="100"/>
            </w:tcMar>
            <w:vAlign w:val="center"/>
          </w:tcPr>
          <w:p>
            <w:r>
              <w:rPr>
                <w:sz w:val="18"/>
                <w:szCs w:val="18"/>
              </w:rPr>
              <w:t xml:space="preserve">Onboarding started</w:t>
            </w:r>
          </w:p>
        </w:tc>
      </w:tr>
      <w:tr>
        <w:tc>
          <w:tcPr>
            <w:tcW w:type="dxa" w:w="3800"/>
            <w:shd w:fill="F2F2F2" w:val="clear"/>
            <w:tcMar>
              <w:top w:type="dxa" w:w="80"/>
              <w:left w:type="dxa" w:w="100"/>
              <w:bottom w:type="dxa" w:w="80"/>
              <w:right w:type="dxa" w:w="100"/>
            </w:tcMar>
            <w:vAlign w:val="center"/>
          </w:tcPr>
          <w:p>
            <w:r>
              <w:rPr>
                <w:sz w:val="18"/>
                <w:szCs w:val="18"/>
              </w:rPr>
              <w:t xml:space="preserve">Account lifecycle</w:t>
            </w:r>
          </w:p>
        </w:tc>
        <w:tc>
          <w:tcPr>
            <w:tcW w:type="dxa" w:w="2200"/>
            <w:shd w:fill="F2F2F2" w:val="clear"/>
            <w:tcMar>
              <w:top w:type="dxa" w:w="80"/>
              <w:left w:type="dxa" w:w="100"/>
              <w:bottom w:type="dxa" w:w="80"/>
              <w:right w:type="dxa" w:w="100"/>
            </w:tcMar>
            <w:vAlign w:val="center"/>
          </w:tcPr>
          <w:p>
            <w:r>
              <w:rPr>
                <w:sz w:val="18"/>
                <w:szCs w:val="18"/>
              </w:rPr>
              <w:t xml:space="preserve">2</w:t>
            </w:r>
          </w:p>
        </w:tc>
        <w:tc>
          <w:tcPr>
            <w:tcW w:type="dxa" w:w="4200"/>
            <w:shd w:fill="F2F2F2" w:val="clear"/>
            <w:tcMar>
              <w:top w:type="dxa" w:w="80"/>
              <w:left w:type="dxa" w:w="100"/>
              <w:bottom w:type="dxa" w:w="80"/>
              <w:right w:type="dxa" w:w="100"/>
            </w:tcMar>
            <w:vAlign w:val="center"/>
          </w:tcPr>
          <w:p>
            <w:r>
              <w:rPr>
                <w:sz w:val="18"/>
                <w:szCs w:val="18"/>
              </w:rPr>
              <w:t xml:space="preserve">Account state changed</w:t>
            </w:r>
          </w:p>
        </w:tc>
      </w:tr>
      <w:tr>
        <w:tc>
          <w:tcPr>
            <w:tcW w:type="dxa" w:w="3800"/>
            <w:tcMar>
              <w:top w:type="dxa" w:w="80"/>
              <w:left w:type="dxa" w:w="100"/>
              <w:bottom w:type="dxa" w:w="80"/>
              <w:right w:type="dxa" w:w="100"/>
            </w:tcMar>
            <w:vAlign w:val="center"/>
          </w:tcPr>
          <w:p>
            <w:r>
              <w:rPr>
                <w:sz w:val="18"/>
                <w:szCs w:val="18"/>
              </w:rPr>
              <w:t xml:space="preserve">Earning - Tasks</w:t>
            </w:r>
          </w:p>
        </w:tc>
        <w:tc>
          <w:tcPr>
            <w:tcW w:type="dxa" w:w="2200"/>
            <w:tcMar>
              <w:top w:type="dxa" w:w="80"/>
              <w:left w:type="dxa" w:w="100"/>
              <w:bottom w:type="dxa" w:w="80"/>
              <w:right w:type="dxa" w:w="100"/>
            </w:tcMar>
            <w:vAlign w:val="center"/>
          </w:tcPr>
          <w:p>
            <w:r>
              <w:rPr>
                <w:sz w:val="18"/>
                <w:szCs w:val="18"/>
              </w:rPr>
              <w:t xml:space="preserve">6</w:t>
            </w:r>
          </w:p>
        </w:tc>
        <w:tc>
          <w:tcPr>
            <w:tcW w:type="dxa" w:w="4200"/>
            <w:tcMar>
              <w:top w:type="dxa" w:w="80"/>
              <w:left w:type="dxa" w:w="100"/>
              <w:bottom w:type="dxa" w:w="80"/>
              <w:right w:type="dxa" w:w="100"/>
            </w:tcMar>
            <w:vAlign w:val="center"/>
          </w:tcPr>
          <w:p>
            <w:r>
              <w:rPr>
                <w:sz w:val="18"/>
                <w:szCs w:val="18"/>
              </w:rPr>
              <w:t xml:space="preserve">Task exposure</w:t>
            </w:r>
          </w:p>
        </w:tc>
      </w:tr>
      <w:tr>
        <w:tc>
          <w:tcPr>
            <w:tcW w:type="dxa" w:w="3800"/>
            <w:shd w:fill="F2F2F2" w:val="clear"/>
            <w:tcMar>
              <w:top w:type="dxa" w:w="80"/>
              <w:left w:type="dxa" w:w="100"/>
              <w:bottom w:type="dxa" w:w="80"/>
              <w:right w:type="dxa" w:w="100"/>
            </w:tcMar>
            <w:vAlign w:val="center"/>
          </w:tcPr>
          <w:p>
            <w:r>
              <w:rPr>
                <w:sz w:val="18"/>
                <w:szCs w:val="18"/>
              </w:rPr>
              <w:t xml:space="preserve">Earning - Ads</w:t>
            </w:r>
          </w:p>
        </w:tc>
        <w:tc>
          <w:tcPr>
            <w:tcW w:type="dxa" w:w="2200"/>
            <w:shd w:fill="F2F2F2" w:val="clear"/>
            <w:tcMar>
              <w:top w:type="dxa" w:w="80"/>
              <w:left w:type="dxa" w:w="100"/>
              <w:bottom w:type="dxa" w:w="80"/>
              <w:right w:type="dxa" w:w="100"/>
            </w:tcMar>
            <w:vAlign w:val="center"/>
          </w:tcPr>
          <w:p>
            <w:r>
              <w:rPr>
                <w:sz w:val="18"/>
                <w:szCs w:val="18"/>
              </w:rPr>
              <w:t xml:space="preserve">1</w:t>
            </w:r>
          </w:p>
        </w:tc>
        <w:tc>
          <w:tcPr>
            <w:tcW w:type="dxa" w:w="4200"/>
            <w:shd w:fill="F2F2F2" w:val="clear"/>
            <w:tcMar>
              <w:top w:type="dxa" w:w="80"/>
              <w:left w:type="dxa" w:w="100"/>
              <w:bottom w:type="dxa" w:w="80"/>
              <w:right w:type="dxa" w:w="100"/>
            </w:tcMar>
            <w:vAlign w:val="center"/>
          </w:tcPr>
          <w:p>
            <w:r>
              <w:rPr>
                <w:sz w:val="18"/>
                <w:szCs w:val="18"/>
              </w:rPr>
              <w:t xml:space="preserve">Ad-based reward eligibility</w:t>
            </w:r>
          </w:p>
        </w:tc>
      </w:tr>
      <w:tr>
        <w:tc>
          <w:tcPr>
            <w:tcW w:type="dxa" w:w="3800"/>
            <w:tcMar>
              <w:top w:type="dxa" w:w="80"/>
              <w:left w:type="dxa" w:w="100"/>
              <w:bottom w:type="dxa" w:w="80"/>
              <w:right w:type="dxa" w:w="100"/>
            </w:tcMar>
            <w:vAlign w:val="center"/>
          </w:tcPr>
          <w:p>
            <w:r>
              <w:rPr>
                <w:sz w:val="18"/>
                <w:szCs w:val="18"/>
              </w:rPr>
              <w:t xml:space="preserve">Earning - External</w:t>
            </w:r>
          </w:p>
        </w:tc>
        <w:tc>
          <w:tcPr>
            <w:tcW w:type="dxa" w:w="2200"/>
            <w:tcMar>
              <w:top w:type="dxa" w:w="80"/>
              <w:left w:type="dxa" w:w="100"/>
              <w:bottom w:type="dxa" w:w="80"/>
              <w:right w:type="dxa" w:w="100"/>
            </w:tcMar>
            <w:vAlign w:val="center"/>
          </w:tcPr>
          <w:p>
            <w:r>
              <w:rPr>
                <w:sz w:val="18"/>
                <w:szCs w:val="18"/>
              </w:rPr>
              <w:t xml:space="preserve">1</w:t>
            </w:r>
          </w:p>
        </w:tc>
        <w:tc>
          <w:tcPr>
            <w:tcW w:type="dxa" w:w="4200"/>
            <w:tcMar>
              <w:top w:type="dxa" w:w="80"/>
              <w:left w:type="dxa" w:w="100"/>
              <w:bottom w:type="dxa" w:w="80"/>
              <w:right w:type="dxa" w:w="100"/>
            </w:tcMar>
            <w:vAlign w:val="center"/>
          </w:tcPr>
          <w:p>
            <w:r>
              <w:rPr>
                <w:sz w:val="18"/>
                <w:szCs w:val="18"/>
              </w:rPr>
              <w:t xml:space="preserve">Externally confirmed completion</w:t>
            </w:r>
          </w:p>
        </w:tc>
      </w:tr>
      <w:tr>
        <w:tc>
          <w:tcPr>
            <w:tcW w:type="dxa" w:w="3800"/>
            <w:shd w:fill="F2F2F2" w:val="clear"/>
            <w:tcMar>
              <w:top w:type="dxa" w:w="80"/>
              <w:left w:type="dxa" w:w="100"/>
              <w:bottom w:type="dxa" w:w="80"/>
              <w:right w:type="dxa" w:w="100"/>
            </w:tcMar>
            <w:vAlign w:val="center"/>
          </w:tcPr>
          <w:p>
            <w:r>
              <w:rPr>
                <w:sz w:val="18"/>
                <w:szCs w:val="18"/>
              </w:rPr>
              <w:t xml:space="preserve">Earning - Mechanics</w:t>
            </w:r>
          </w:p>
        </w:tc>
        <w:tc>
          <w:tcPr>
            <w:tcW w:type="dxa" w:w="2200"/>
            <w:shd w:fill="F2F2F2" w:val="clear"/>
            <w:tcMar>
              <w:top w:type="dxa" w:w="80"/>
              <w:left w:type="dxa" w:w="100"/>
              <w:bottom w:type="dxa" w:w="80"/>
              <w:right w:type="dxa" w:w="100"/>
            </w:tcMar>
            <w:vAlign w:val="center"/>
          </w:tcPr>
          <w:p>
            <w:r>
              <w:rPr>
                <w:sz w:val="18"/>
                <w:szCs w:val="18"/>
              </w:rPr>
              <w:t xml:space="preserve">2</w:t>
            </w:r>
          </w:p>
        </w:tc>
        <w:tc>
          <w:tcPr>
            <w:tcW w:type="dxa" w:w="4200"/>
            <w:shd w:fill="F2F2F2" w:val="clear"/>
            <w:tcMar>
              <w:top w:type="dxa" w:w="80"/>
              <w:left w:type="dxa" w:w="100"/>
              <w:bottom w:type="dxa" w:w="80"/>
              <w:right w:type="dxa" w:w="100"/>
            </w:tcMar>
            <w:vAlign w:val="center"/>
          </w:tcPr>
          <w:p>
            <w:r>
              <w:rPr>
                <w:sz w:val="18"/>
                <w:szCs w:val="18"/>
              </w:rPr>
              <w:t xml:space="preserve">Activity-based reward</w:t>
            </w:r>
          </w:p>
        </w:tc>
      </w:tr>
      <w:tr>
        <w:tc>
          <w:tcPr>
            <w:tcW w:type="dxa" w:w="3800"/>
            <w:tcMar>
              <w:top w:type="dxa" w:w="80"/>
              <w:left w:type="dxa" w:w="100"/>
              <w:bottom w:type="dxa" w:w="80"/>
              <w:right w:type="dxa" w:w="100"/>
            </w:tcMar>
            <w:vAlign w:val="center"/>
          </w:tcPr>
          <w:p>
            <w:r>
              <w:rPr>
                <w:sz w:val="18"/>
                <w:szCs w:val="18"/>
              </w:rPr>
              <w:t xml:space="preserve">Engagement</w:t>
            </w:r>
          </w:p>
        </w:tc>
        <w:tc>
          <w:tcPr>
            <w:tcW w:type="dxa" w:w="2200"/>
            <w:tcMar>
              <w:top w:type="dxa" w:w="80"/>
              <w:left w:type="dxa" w:w="100"/>
              <w:bottom w:type="dxa" w:w="80"/>
              <w:right w:type="dxa" w:w="100"/>
            </w:tcMar>
            <w:vAlign w:val="center"/>
          </w:tcPr>
          <w:p>
            <w:r>
              <w:rPr>
                <w:sz w:val="18"/>
                <w:szCs w:val="18"/>
              </w:rPr>
              <w:t xml:space="preserve">6</w:t>
            </w:r>
          </w:p>
        </w:tc>
        <w:tc>
          <w:tcPr>
            <w:tcW w:type="dxa" w:w="4200"/>
            <w:tcMar>
              <w:top w:type="dxa" w:w="80"/>
              <w:left w:type="dxa" w:w="100"/>
              <w:bottom w:type="dxa" w:w="80"/>
              <w:right w:type="dxa" w:w="100"/>
            </w:tcMar>
            <w:vAlign w:val="center"/>
          </w:tcPr>
          <w:p>
            <w:r>
              <w:rPr>
                <w:sz w:val="18"/>
                <w:szCs w:val="18"/>
              </w:rPr>
              <w:t xml:space="preserve">Daily reward credited</w:t>
            </w:r>
          </w:p>
        </w:tc>
      </w:tr>
      <w:tr>
        <w:tc>
          <w:tcPr>
            <w:tcW w:type="dxa" w:w="3800"/>
            <w:shd w:fill="F2F2F2" w:val="clear"/>
            <w:tcMar>
              <w:top w:type="dxa" w:w="80"/>
              <w:left w:type="dxa" w:w="100"/>
              <w:bottom w:type="dxa" w:w="80"/>
              <w:right w:type="dxa" w:w="100"/>
            </w:tcMar>
            <w:vAlign w:val="center"/>
          </w:tcPr>
          <w:p>
            <w:r>
              <w:rPr>
                <w:sz w:val="18"/>
                <w:szCs w:val="18"/>
              </w:rPr>
              <w:t xml:space="preserve">Rewards</w:t>
            </w:r>
          </w:p>
        </w:tc>
        <w:tc>
          <w:tcPr>
            <w:tcW w:type="dxa" w:w="2200"/>
            <w:shd w:fill="F2F2F2" w:val="clear"/>
            <w:tcMar>
              <w:top w:type="dxa" w:w="80"/>
              <w:left w:type="dxa" w:w="100"/>
              <w:bottom w:type="dxa" w:w="80"/>
              <w:right w:type="dxa" w:w="100"/>
            </w:tcMar>
            <w:vAlign w:val="center"/>
          </w:tcPr>
          <w:p>
            <w:r>
              <w:rPr>
                <w:sz w:val="18"/>
                <w:szCs w:val="18"/>
              </w:rPr>
              <w:t xml:space="preserve">4</w:t>
            </w:r>
          </w:p>
        </w:tc>
        <w:tc>
          <w:tcPr>
            <w:tcW w:type="dxa" w:w="4200"/>
            <w:shd w:fill="F2F2F2" w:val="clear"/>
            <w:tcMar>
              <w:top w:type="dxa" w:w="80"/>
              <w:left w:type="dxa" w:w="100"/>
              <w:bottom w:type="dxa" w:w="80"/>
              <w:right w:type="dxa" w:w="100"/>
            </w:tcMar>
            <w:vAlign w:val="center"/>
          </w:tcPr>
          <w:p>
            <w:r>
              <w:rPr>
                <w:sz w:val="18"/>
                <w:szCs w:val="18"/>
              </w:rPr>
              <w:t xml:space="preserve">Reward actually credited</w:t>
            </w:r>
          </w:p>
        </w:tc>
      </w:tr>
      <w:tr>
        <w:tc>
          <w:tcPr>
            <w:tcW w:type="dxa" w:w="3800"/>
            <w:tcMar>
              <w:top w:type="dxa" w:w="80"/>
              <w:left w:type="dxa" w:w="100"/>
              <w:bottom w:type="dxa" w:w="80"/>
              <w:right w:type="dxa" w:w="100"/>
            </w:tcMar>
            <w:vAlign w:val="center"/>
          </w:tcPr>
          <w:p>
            <w:r>
              <w:rPr>
                <w:sz w:val="18"/>
                <w:szCs w:val="18"/>
              </w:rPr>
              <w:t xml:space="preserve">Wallet</w:t>
            </w:r>
          </w:p>
        </w:tc>
        <w:tc>
          <w:tcPr>
            <w:tcW w:type="dxa" w:w="2200"/>
            <w:tcMar>
              <w:top w:type="dxa" w:w="80"/>
              <w:left w:type="dxa" w:w="100"/>
              <w:bottom w:type="dxa" w:w="80"/>
              <w:right w:type="dxa" w:w="100"/>
            </w:tcMar>
            <w:vAlign w:val="center"/>
          </w:tcPr>
          <w:p>
            <w:r>
              <w:rPr>
                <w:sz w:val="18"/>
                <w:szCs w:val="18"/>
              </w:rPr>
              <w:t xml:space="preserve">2</w:t>
            </w:r>
          </w:p>
        </w:tc>
        <w:tc>
          <w:tcPr>
            <w:tcW w:type="dxa" w:w="4200"/>
            <w:tcMar>
              <w:top w:type="dxa" w:w="80"/>
              <w:left w:type="dxa" w:w="100"/>
              <w:bottom w:type="dxa" w:w="80"/>
              <w:right w:type="dxa" w:w="100"/>
            </w:tcMar>
            <w:vAlign w:val="center"/>
          </w:tcPr>
          <w:p>
            <w:r>
              <w:rPr>
                <w:sz w:val="18"/>
                <w:szCs w:val="18"/>
              </w:rPr>
              <w:t xml:space="preserve">Balance movement recorded</w:t>
            </w:r>
          </w:p>
        </w:tc>
      </w:tr>
      <w:tr>
        <w:tc>
          <w:tcPr>
            <w:tcW w:type="dxa" w:w="3800"/>
            <w:shd w:fill="F2F2F2" w:val="clear"/>
            <w:tcMar>
              <w:top w:type="dxa" w:w="80"/>
              <w:left w:type="dxa" w:w="100"/>
              <w:bottom w:type="dxa" w:w="80"/>
              <w:right w:type="dxa" w:w="100"/>
            </w:tcMar>
            <w:vAlign w:val="center"/>
          </w:tcPr>
          <w:p>
            <w:r>
              <w:rPr>
                <w:sz w:val="18"/>
                <w:szCs w:val="18"/>
              </w:rPr>
              <w:t xml:space="preserve">Withdrawals</w:t>
            </w:r>
          </w:p>
        </w:tc>
        <w:tc>
          <w:tcPr>
            <w:tcW w:type="dxa" w:w="2200"/>
            <w:shd w:fill="F2F2F2" w:val="clear"/>
            <w:tcMar>
              <w:top w:type="dxa" w:w="80"/>
              <w:left w:type="dxa" w:w="100"/>
              <w:bottom w:type="dxa" w:w="80"/>
              <w:right w:type="dxa" w:w="100"/>
            </w:tcMar>
            <w:vAlign w:val="center"/>
          </w:tcPr>
          <w:p>
            <w:r>
              <w:rPr>
                <w:sz w:val="18"/>
                <w:szCs w:val="18"/>
              </w:rPr>
              <w:t xml:space="preserve">4</w:t>
            </w:r>
          </w:p>
        </w:tc>
        <w:tc>
          <w:tcPr>
            <w:tcW w:type="dxa" w:w="4200"/>
            <w:shd w:fill="F2F2F2" w:val="clear"/>
            <w:tcMar>
              <w:top w:type="dxa" w:w="80"/>
              <w:left w:type="dxa" w:w="100"/>
              <w:bottom w:type="dxa" w:w="80"/>
              <w:right w:type="dxa" w:w="100"/>
            </w:tcMar>
            <w:vAlign w:val="center"/>
          </w:tcPr>
          <w:p>
            <w:r>
              <w:rPr>
                <w:sz w:val="18"/>
                <w:szCs w:val="18"/>
              </w:rPr>
              <w:t xml:space="preserve">Request logged</w:t>
            </w:r>
          </w:p>
        </w:tc>
      </w:tr>
      <w:tr>
        <w:tc>
          <w:tcPr>
            <w:tcW w:type="dxa" w:w="3800"/>
            <w:tcMar>
              <w:top w:type="dxa" w:w="80"/>
              <w:left w:type="dxa" w:w="100"/>
              <w:bottom w:type="dxa" w:w="80"/>
              <w:right w:type="dxa" w:w="100"/>
            </w:tcMar>
            <w:vAlign w:val="center"/>
          </w:tcPr>
          <w:p>
            <w:r>
              <w:rPr>
                <w:sz w:val="18"/>
                <w:szCs w:val="18"/>
              </w:rPr>
              <w:t xml:space="preserve">Referrals</w:t>
            </w:r>
          </w:p>
        </w:tc>
        <w:tc>
          <w:tcPr>
            <w:tcW w:type="dxa" w:w="2200"/>
            <w:tcMar>
              <w:top w:type="dxa" w:w="80"/>
              <w:left w:type="dxa" w:w="100"/>
              <w:bottom w:type="dxa" w:w="80"/>
              <w:right w:type="dxa" w:w="100"/>
            </w:tcMar>
            <w:vAlign w:val="center"/>
          </w:tcPr>
          <w:p>
            <w:r>
              <w:rPr>
                <w:sz w:val="18"/>
                <w:szCs w:val="18"/>
              </w:rPr>
              <w:t xml:space="preserve">1</w:t>
            </w:r>
          </w:p>
        </w:tc>
        <w:tc>
          <w:tcPr>
            <w:tcW w:type="dxa" w:w="4200"/>
            <w:tcMar>
              <w:top w:type="dxa" w:w="80"/>
              <w:left w:type="dxa" w:w="100"/>
              <w:bottom w:type="dxa" w:w="80"/>
              <w:right w:type="dxa" w:w="100"/>
            </w:tcMar>
            <w:vAlign w:val="center"/>
          </w:tcPr>
          <w:p>
            <w:r>
              <w:rPr>
                <w:sz w:val="18"/>
                <w:szCs w:val="18"/>
              </w:rPr>
              <w:t xml:space="preserve">Referral converted</w:t>
            </w:r>
          </w:p>
        </w:tc>
      </w:tr>
      <w:tr>
        <w:tc>
          <w:tcPr>
            <w:tcW w:type="dxa" w:w="3800"/>
            <w:shd w:fill="F2F2F2" w:val="clear"/>
            <w:tcMar>
              <w:top w:type="dxa" w:w="80"/>
              <w:left w:type="dxa" w:w="100"/>
              <w:bottom w:type="dxa" w:w="80"/>
              <w:right w:type="dxa" w:w="100"/>
            </w:tcMar>
            <w:vAlign w:val="center"/>
          </w:tcPr>
          <w:p>
            <w:r>
              <w:rPr>
                <w:sz w:val="18"/>
                <w:szCs w:val="18"/>
              </w:rPr>
              <w:t xml:space="preserve">Feature engagement</w:t>
            </w:r>
          </w:p>
        </w:tc>
        <w:tc>
          <w:tcPr>
            <w:tcW w:type="dxa" w:w="2200"/>
            <w:shd w:fill="F2F2F2" w:val="clear"/>
            <w:tcMar>
              <w:top w:type="dxa" w:w="80"/>
              <w:left w:type="dxa" w:w="100"/>
              <w:bottom w:type="dxa" w:w="80"/>
              <w:right w:type="dxa" w:w="100"/>
            </w:tcMar>
            <w:vAlign w:val="center"/>
          </w:tcPr>
          <w:p>
            <w:r>
              <w:rPr>
                <w:sz w:val="18"/>
                <w:szCs w:val="18"/>
              </w:rPr>
              <w:t xml:space="preserve">1</w:t>
            </w:r>
          </w:p>
        </w:tc>
        <w:tc>
          <w:tcPr>
            <w:tcW w:type="dxa" w:w="4200"/>
            <w:shd w:fill="F2F2F2" w:val="clear"/>
            <w:tcMar>
              <w:top w:type="dxa" w:w="80"/>
              <w:left w:type="dxa" w:w="100"/>
              <w:bottom w:type="dxa" w:w="80"/>
              <w:right w:type="dxa" w:w="100"/>
            </w:tcMar>
            <w:vAlign w:val="center"/>
          </w:tcPr>
          <w:p>
            <w:r>
              <w:rPr>
                <w:sz w:val="18"/>
                <w:szCs w:val="18"/>
              </w:rPr>
              <w:t xml:space="preserve">Feature reach</w:t>
            </w:r>
          </w:p>
        </w:tc>
      </w:tr>
      <w:tr>
        <w:tc>
          <w:tcPr>
            <w:tcW w:type="dxa" w:w="3800"/>
            <w:tcMar>
              <w:top w:type="dxa" w:w="80"/>
              <w:left w:type="dxa" w:w="100"/>
              <w:bottom w:type="dxa" w:w="80"/>
              <w:right w:type="dxa" w:w="100"/>
            </w:tcMar>
            <w:vAlign w:val="center"/>
          </w:tcPr>
          <w:p>
            <w:r>
              <w:rPr>
                <w:sz w:val="18"/>
                <w:szCs w:val="18"/>
              </w:rPr>
              <w:t xml:space="preserve">Support / content</w:t>
            </w:r>
          </w:p>
        </w:tc>
        <w:tc>
          <w:tcPr>
            <w:tcW w:type="dxa" w:w="2200"/>
            <w:tcMar>
              <w:top w:type="dxa" w:w="80"/>
              <w:left w:type="dxa" w:w="100"/>
              <w:bottom w:type="dxa" w:w="80"/>
              <w:right w:type="dxa" w:w="100"/>
            </w:tcMar>
            <w:vAlign w:val="center"/>
          </w:tcPr>
          <w:p>
            <w:r>
              <w:rPr>
                <w:sz w:val="18"/>
                <w:szCs w:val="18"/>
              </w:rPr>
              <w:t xml:space="preserve">2</w:t>
            </w:r>
          </w:p>
        </w:tc>
        <w:tc>
          <w:tcPr>
            <w:tcW w:type="dxa" w:w="4200"/>
            <w:tcMar>
              <w:top w:type="dxa" w:w="80"/>
              <w:left w:type="dxa" w:w="100"/>
              <w:bottom w:type="dxa" w:w="80"/>
              <w:right w:type="dxa" w:w="100"/>
            </w:tcMar>
            <w:vAlign w:val="center"/>
          </w:tcPr>
          <w:p>
            <w:r>
              <w:rPr>
                <w:sz w:val="18"/>
                <w:szCs w:val="18"/>
              </w:rPr>
              <w:t xml:space="preserve">Content engagement</w:t>
            </w:r>
          </w:p>
        </w:tc>
      </w:tr>
      <w:tr>
        <w:tc>
          <w:tcPr>
            <w:tcW w:type="dxa" w:w="3800"/>
            <w:shd w:fill="F2F2F2" w:val="clear"/>
            <w:tcMar>
              <w:top w:type="dxa" w:w="80"/>
              <w:left w:type="dxa" w:w="100"/>
              <w:bottom w:type="dxa" w:w="80"/>
              <w:right w:type="dxa" w:w="100"/>
            </w:tcMar>
            <w:vAlign w:val="center"/>
          </w:tcPr>
          <w:p>
            <w:r>
              <w:rPr>
                <w:sz w:val="18"/>
                <w:szCs w:val="18"/>
              </w:rPr>
              <w:t xml:space="preserve">Future features</w:t>
            </w:r>
          </w:p>
        </w:tc>
        <w:tc>
          <w:tcPr>
            <w:tcW w:type="dxa" w:w="2200"/>
            <w:shd w:fill="F2F2F2" w:val="clear"/>
            <w:tcMar>
              <w:top w:type="dxa" w:w="80"/>
              <w:left w:type="dxa" w:w="100"/>
              <w:bottom w:type="dxa" w:w="80"/>
              <w:right w:type="dxa" w:w="100"/>
            </w:tcMar>
            <w:vAlign w:val="center"/>
          </w:tcPr>
          <w:p>
            <w:r>
              <w:rPr>
                <w:sz w:val="18"/>
                <w:szCs w:val="18"/>
              </w:rPr>
              <w:t xml:space="preserve">1</w:t>
            </w:r>
          </w:p>
        </w:tc>
        <w:tc>
          <w:tcPr>
            <w:tcW w:type="dxa" w:w="4200"/>
            <w:shd w:fill="F2F2F2" w:val="clear"/>
            <w:tcMar>
              <w:top w:type="dxa" w:w="80"/>
              <w:left w:type="dxa" w:w="100"/>
              <w:bottom w:type="dxa" w:w="80"/>
              <w:right w:type="dxa" w:w="100"/>
            </w:tcMar>
            <w:vAlign w:val="center"/>
          </w:tcPr>
          <w:p>
            <w:r>
              <w:rPr>
                <w:sz w:val="18"/>
                <w:szCs w:val="18"/>
              </w:rPr>
              <w:t xml:space="preserve">-</w:t>
            </w:r>
          </w:p>
        </w:tc>
      </w:tr>
    </w:tbl>
    <w:p>
      <w:pPr>
        <w:pStyle w:val="Heading1"/>
        <w:spacing w:after="140" w:before="280"/>
      </w:pPr>
      <w:r>
        <w:t xml:space="preserve">4. Not everything is confirmed to exist</w:t>
      </w:r>
    </w:p>
    <w:p>
      <w:pPr>
        <w:spacing w:after="120"/>
      </w:pPr>
      <w:r>
        <w:rPr>
          <w:sz w:val="22"/>
          <w:szCs w:val="22"/>
        </w:rPr>
        <w:t xml:space="preserve">The brief is explicit that the analyst must not assume every named feature is implemented or production-ready. Of the features covered in the Coverage Matrix, the following are flagged To Be Verified rather than Proposed, meaning their basic existence - not just their analytics - is unconfirmed:</w:t>
      </w:r>
    </w:p>
    <w:p>
      <w:pPr>
        <w:pStyle w:val="ListParagraph"/>
        <w:numPr>
          <w:ilvl w:val="0"/>
          <w:numId w:val="1"/>
        </w:numPr>
        <w:spacing w:after="60"/>
      </w:pPr>
      <w:r>
        <w:t xml:space="preserve">Session-level tracking (session_id, session_started event)</w:t>
      </w:r>
    </w:p>
    <w:p>
      <w:pPr>
        <w:pStyle w:val="ListParagraph"/>
        <w:numPr>
          <w:ilvl w:val="0"/>
          <w:numId w:val="1"/>
        </w:numPr>
        <w:spacing w:after="60"/>
      </w:pPr>
      <w:r>
        <w:t xml:space="preserve">Tap &amp; Earn and Mining as distinct mechanics</w:t>
      </w:r>
    </w:p>
    <w:p>
      <w:pPr>
        <w:pStyle w:val="ListParagraph"/>
        <w:numPr>
          <w:ilvl w:val="0"/>
          <w:numId w:val="1"/>
        </w:numPr>
        <w:spacing w:after="60"/>
      </w:pPr>
      <w:r>
        <w:t xml:space="preserve">Spin, Missions, Badges, Levels</w:t>
      </w:r>
    </w:p>
    <w:p>
      <w:pPr>
        <w:pStyle w:val="ListParagraph"/>
        <w:numPr>
          <w:ilvl w:val="0"/>
          <w:numId w:val="1"/>
        </w:numPr>
        <w:spacing w:after="60"/>
      </w:pPr>
      <w:r>
        <w:t xml:space="preserve">Exchange functionality between reward units</w:t>
      </w:r>
    </w:p>
    <w:p>
      <w:pPr>
        <w:pStyle w:val="ListParagraph"/>
        <w:numPr>
          <w:ilvl w:val="0"/>
          <w:numId w:val="1"/>
        </w:numPr>
        <w:spacing w:after="60"/>
      </w:pPr>
      <w:r>
        <w:t xml:space="preserve">Third-party survey/offer/game integrations beyond ads</w:t>
      </w:r>
    </w:p>
    <w:p>
      <w:pPr>
        <w:pStyle w:val="ListParagraph"/>
        <w:numPr>
          <w:ilvl w:val="0"/>
          <w:numId w:val="1"/>
        </w:numPr>
        <w:spacing w:after="60"/>
      </w:pPr>
      <w:r>
        <w:t xml:space="preserve">Help Center content and support ticketing</w:t>
      </w:r>
    </w:p>
    <w:p>
      <w:pPr>
        <w:spacing w:after="120"/>
      </w:pPr>
      <w:r>
        <w:rPr>
          <w:sz w:val="22"/>
          <w:szCs w:val="22"/>
        </w:rPr>
        <w:t xml:space="preserve">Every event and field tied to these features is marked Proposed in the Event Tracking Plan and Data Dictionary, and none of the KPIs referencing them should be built until Product confirms the feature exists.</w:t>
      </w:r>
    </w:p>
    <w:p>
      <w:pPr>
        <w:pStyle w:val="Heading1"/>
        <w:spacing w:after="140" w:before="280"/>
      </w:pPr>
      <w:r>
        <w:t xml:space="preserve">5. Analytics gaps (Work Package A4)</w:t>
      </w:r>
    </w:p>
    <w:p>
      <w:pPr>
        <w:spacing w:after="120"/>
      </w:pPr>
      <w:r>
        <w:rPr>
          <w:sz w:val="22"/>
          <w:szCs w:val="22"/>
        </w:rPr>
        <w:t xml:space="preserve">16 gaps were identified against a 10-gap minimum. Full detail, including impact and priority reasoning, is in the Analytics_Gaps sheet of the Analytics Design Workbook. The five most severe: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4500"/>
      </w:tblGrid>
      <w:tr>
        <w:trPr>
          <w:tblHeader/>
        </w:trPr>
        <w:tc>
          <w:tcPr>
            <w:tcW w:type="dxa" w:w="4400"/>
            <w:shd w:fill="1F3864" w:val="clear"/>
            <w:tcMar>
              <w:top w:type="dxa" w:w="80"/>
              <w:left w:type="dxa" w:w="100"/>
              <w:bottom w:type="dxa" w:w="80"/>
              <w:right w:type="dxa" w:w="100"/>
            </w:tcMar>
            <w:vAlign w:val="center"/>
          </w:tcPr>
          <w:p>
            <w:r>
              <w:rPr>
                <w:b/>
                <w:bCs/>
                <w:color w:val="FFFFFF"/>
                <w:sz w:val="18"/>
                <w:szCs w:val="18"/>
              </w:rPr>
              <w:t xml:space="preserve">Gap</w:t>
            </w:r>
          </w:p>
        </w:tc>
        <w:tc>
          <w:tcPr>
            <w:tcW w:type="dxa" w:w="1300"/>
            <w:shd w:fill="1F3864" w:val="clear"/>
            <w:tcMar>
              <w:top w:type="dxa" w:w="80"/>
              <w:left w:type="dxa" w:w="100"/>
              <w:bottom w:type="dxa" w:w="80"/>
              <w:right w:type="dxa" w:w="100"/>
            </w:tcMar>
            <w:vAlign w:val="center"/>
          </w:tcPr>
          <w:p>
            <w:r>
              <w:rPr>
                <w:b/>
                <w:bCs/>
                <w:color w:val="FFFFFF"/>
                <w:sz w:val="18"/>
                <w:szCs w:val="18"/>
              </w:rPr>
              <w:t xml:space="preserve">Priority</w:t>
            </w:r>
          </w:p>
        </w:tc>
        <w:tc>
          <w:tcPr>
            <w:tcW w:type="dxa" w:w="4500"/>
            <w:shd w:fill="1F3864" w:val="clear"/>
            <w:tcMar>
              <w:top w:type="dxa" w:w="80"/>
              <w:left w:type="dxa" w:w="100"/>
              <w:bottom w:type="dxa" w:w="80"/>
              <w:right w:type="dxa" w:w="100"/>
            </w:tcMar>
            <w:vAlign w:val="center"/>
          </w:tcPr>
          <w:p>
            <w:r>
              <w:rPr>
                <w:b/>
                <w:bCs/>
                <w:color w:val="FFFFFF"/>
                <w:sz w:val="18"/>
                <w:szCs w:val="18"/>
              </w:rPr>
              <w:t xml:space="preserve">Reason</w:t>
            </w:r>
          </w:p>
        </w:tc>
      </w:tr>
      <w:tr>
        <w:tc>
          <w:tcPr>
            <w:tcW w:type="dxa" w:w="4400"/>
            <w:tcMar>
              <w:top w:type="dxa" w:w="80"/>
              <w:left w:type="dxa" w:w="100"/>
              <w:bottom w:type="dxa" w:w="80"/>
              <w:right w:type="dxa" w:w="100"/>
            </w:tcMar>
            <w:vAlign w:val="center"/>
          </w:tcPr>
          <w:p>
            <w:r>
              <w:rPr>
                <w:sz w:val="18"/>
                <w:szCs w:val="18"/>
              </w:rPr>
              <w:t xml:space="preserve">No verified unique transaction ID or idempotency key for wallet movements</w:t>
            </w:r>
          </w:p>
        </w:tc>
        <w:tc>
          <w:tcPr>
            <w:tcW w:type="dxa" w:w="1300"/>
            <w:tcMar>
              <w:top w:type="dxa" w:w="80"/>
              <w:left w:type="dxa" w:w="100"/>
              <w:bottom w:type="dxa" w:w="80"/>
              <w:right w:type="dxa" w:w="100"/>
            </w:tcMar>
            <w:vAlign w:val="center"/>
          </w:tcPr>
          <w:p>
            <w:r>
              <w:rPr>
                <w:sz w:val="18"/>
                <w:szCs w:val="18"/>
              </w:rPr>
              <w:t xml:space="preserve">Critical</w:t>
            </w:r>
          </w:p>
        </w:tc>
        <w:tc>
          <w:tcPr>
            <w:tcW w:type="dxa" w:w="4500"/>
            <w:tcMar>
              <w:top w:type="dxa" w:w="80"/>
              <w:left w:type="dxa" w:w="100"/>
              <w:bottom w:type="dxa" w:w="80"/>
              <w:right w:type="dxa" w:w="100"/>
            </w:tcMar>
            <w:vAlign w:val="center"/>
          </w:tcPr>
          <w:p>
            <w:r>
              <w:rPr>
                <w:sz w:val="18"/>
                <w:szCs w:val="18"/>
              </w:rPr>
              <w:t xml:space="preserve">Without a stable transaction ID, reliable deduplication cannot be guaranteed</w:t>
            </w:r>
          </w:p>
        </w:tc>
      </w:tr>
      <w:tr>
        <w:tc>
          <w:tcPr>
            <w:tcW w:type="dxa" w:w="4400"/>
            <w:shd w:fill="F2F2F2" w:val="clear"/>
            <w:tcMar>
              <w:top w:type="dxa" w:w="80"/>
              <w:left w:type="dxa" w:w="100"/>
              <w:bottom w:type="dxa" w:w="80"/>
              <w:right w:type="dxa" w:w="100"/>
            </w:tcMar>
            <w:vAlign w:val="center"/>
          </w:tcPr>
          <w:p>
            <w:r>
              <w:rPr>
                <w:sz w:val="18"/>
                <w:szCs w:val="18"/>
              </w:rPr>
              <w:t xml:space="preserve">No referrer-to-referred link in the data model</w:t>
            </w:r>
          </w:p>
        </w:tc>
        <w:tc>
          <w:tcPr>
            <w:tcW w:type="dxa" w:w="1300"/>
            <w:shd w:fill="F2F2F2" w:val="clear"/>
            <w:tcMar>
              <w:top w:type="dxa" w:w="80"/>
              <w:left w:type="dxa" w:w="100"/>
              <w:bottom w:type="dxa" w:w="80"/>
              <w:right w:type="dxa" w:w="100"/>
            </w:tcMar>
            <w:vAlign w:val="center"/>
          </w:tcPr>
          <w:p>
            <w:r>
              <w:rPr>
                <w:sz w:val="18"/>
                <w:szCs w:val="18"/>
              </w:rPr>
              <w:t xml:space="preserve">Critical</w:t>
            </w:r>
          </w:p>
        </w:tc>
        <w:tc>
          <w:tcPr>
            <w:tcW w:type="dxa" w:w="4500"/>
            <w:shd w:fill="F2F2F2" w:val="clear"/>
            <w:tcMar>
              <w:top w:type="dxa" w:w="80"/>
              <w:left w:type="dxa" w:w="100"/>
              <w:bottom w:type="dxa" w:w="80"/>
              <w:right w:type="dxa" w:w="100"/>
            </w:tcMar>
            <w:vAlign w:val="center"/>
          </w:tcPr>
          <w:p>
            <w:r>
              <w:rPr>
                <w:sz w:val="18"/>
                <w:szCs w:val="18"/>
              </w:rPr>
              <w:t xml:space="preserve">Referral conversion cannot be computed without a link between two user IDs</w:t>
            </w:r>
          </w:p>
        </w:tc>
      </w:tr>
      <w:tr>
        <w:tc>
          <w:tcPr>
            <w:tcW w:type="dxa" w:w="4400"/>
            <w:tcMar>
              <w:top w:type="dxa" w:w="80"/>
              <w:left w:type="dxa" w:w="100"/>
              <w:bottom w:type="dxa" w:w="80"/>
              <w:right w:type="dxa" w:w="100"/>
            </w:tcMar>
            <w:vAlign w:val="center"/>
          </w:tcPr>
          <w:p>
            <w:r>
              <w:rPr>
                <w:sz w:val="18"/>
                <w:szCs w:val="18"/>
              </w:rPr>
              <w:t xml:space="preserve">Reward units (VE, XP, Gems, Tokens, Spins) have no verified definitions or conversion rules</w:t>
            </w:r>
          </w:p>
        </w:tc>
        <w:tc>
          <w:tcPr>
            <w:tcW w:type="dxa" w:w="1300"/>
            <w:tcMar>
              <w:top w:type="dxa" w:w="80"/>
              <w:left w:type="dxa" w:w="100"/>
              <w:bottom w:type="dxa" w:w="80"/>
              <w:right w:type="dxa" w:w="100"/>
            </w:tcMar>
            <w:vAlign w:val="center"/>
          </w:tcPr>
          <w:p>
            <w:r>
              <w:rPr>
                <w:sz w:val="18"/>
                <w:szCs w:val="18"/>
              </w:rPr>
              <w:t xml:space="preserve">Critical</w:t>
            </w:r>
          </w:p>
        </w:tc>
        <w:tc>
          <w:tcPr>
            <w:tcW w:type="dxa" w:w="4500"/>
            <w:tcMar>
              <w:top w:type="dxa" w:w="80"/>
              <w:left w:type="dxa" w:w="100"/>
              <w:bottom w:type="dxa" w:w="80"/>
              <w:right w:type="dxa" w:w="100"/>
            </w:tcMar>
            <w:vAlign w:val="center"/>
          </w:tcPr>
          <w:p>
            <w:r>
              <w:rPr>
                <w:sz w:val="18"/>
                <w:szCs w:val="18"/>
              </w:rPr>
              <w:t xml:space="preserve">Reward totals mixed across units would be meaningless</w:t>
            </w:r>
          </w:p>
        </w:tc>
      </w:tr>
      <w:tr>
        <w:tc>
          <w:tcPr>
            <w:tcW w:type="dxa" w:w="4400"/>
            <w:shd w:fill="F2F2F2" w:val="clear"/>
            <w:tcMar>
              <w:top w:type="dxa" w:w="80"/>
              <w:left w:type="dxa" w:w="100"/>
              <w:bottom w:type="dxa" w:w="80"/>
              <w:right w:type="dxa" w:w="100"/>
            </w:tcMar>
            <w:vAlign w:val="center"/>
          </w:tcPr>
          <w:p>
            <w:r>
              <w:rPr>
                <w:sz w:val="18"/>
                <w:szCs w:val="18"/>
              </w:rPr>
              <w:t xml:space="preserve">Withdrawal status history not verified to exist</w:t>
            </w:r>
          </w:p>
        </w:tc>
        <w:tc>
          <w:tcPr>
            <w:tcW w:type="dxa" w:w="1300"/>
            <w:shd w:fill="F2F2F2" w:val="clear"/>
            <w:tcMar>
              <w:top w:type="dxa" w:w="80"/>
              <w:left w:type="dxa" w:w="100"/>
              <w:bottom w:type="dxa" w:w="80"/>
              <w:right w:type="dxa" w:w="100"/>
            </w:tcMar>
            <w:vAlign w:val="center"/>
          </w:tcPr>
          <w:p>
            <w:r>
              <w:rPr>
                <w:sz w:val="18"/>
                <w:szCs w:val="18"/>
              </w:rPr>
              <w:t xml:space="preserve">Critical</w:t>
            </w:r>
          </w:p>
        </w:tc>
        <w:tc>
          <w:tcPr>
            <w:tcW w:type="dxa" w:w="4500"/>
            <w:shd w:fill="F2F2F2" w:val="clear"/>
            <w:tcMar>
              <w:top w:type="dxa" w:w="80"/>
              <w:left w:type="dxa" w:w="100"/>
              <w:bottom w:type="dxa" w:w="80"/>
              <w:right w:type="dxa" w:w="100"/>
            </w:tcMar>
            <w:vAlign w:val="center"/>
          </w:tcPr>
          <w:p>
            <w:r>
              <w:rPr>
                <w:sz w:val="18"/>
                <w:szCs w:val="18"/>
              </w:rPr>
              <w:t xml:space="preserve">Processing time needs at least a requested, processing and final timestamp</w:t>
            </w:r>
          </w:p>
        </w:tc>
      </w:tr>
      <w:tr>
        <w:tc>
          <w:tcPr>
            <w:tcW w:type="dxa" w:w="4400"/>
            <w:tcMar>
              <w:top w:type="dxa" w:w="80"/>
              <w:left w:type="dxa" w:w="100"/>
              <w:bottom w:type="dxa" w:w="80"/>
              <w:right w:type="dxa" w:w="100"/>
            </w:tcMar>
            <w:vAlign w:val="center"/>
          </w:tcPr>
          <w:p>
            <w:r>
              <w:rPr>
                <w:sz w:val="18"/>
                <w:szCs w:val="18"/>
              </w:rPr>
              <w:t xml:space="preserve">No agreed definition of a 'qualifying activity' for active-user metrics</w:t>
            </w:r>
          </w:p>
        </w:tc>
        <w:tc>
          <w:tcPr>
            <w:tcW w:type="dxa" w:w="1300"/>
            <w:tcMar>
              <w:top w:type="dxa" w:w="80"/>
              <w:left w:type="dxa" w:w="100"/>
              <w:bottom w:type="dxa" w:w="80"/>
              <w:right w:type="dxa" w:w="100"/>
            </w:tcMar>
            <w:vAlign w:val="center"/>
          </w:tcPr>
          <w:p>
            <w:r>
              <w:rPr>
                <w:sz w:val="18"/>
                <w:szCs w:val="18"/>
              </w:rPr>
              <w:t xml:space="preserve">High</w:t>
            </w:r>
          </w:p>
        </w:tc>
        <w:tc>
          <w:tcPr>
            <w:tcW w:type="dxa" w:w="4500"/>
            <w:tcMar>
              <w:top w:type="dxa" w:w="80"/>
              <w:left w:type="dxa" w:w="100"/>
              <w:bottom w:type="dxa" w:w="80"/>
              <w:right w:type="dxa" w:w="100"/>
            </w:tcMar>
            <w:vAlign w:val="center"/>
          </w:tcPr>
          <w:p>
            <w:r>
              <w:rPr>
                <w:sz w:val="18"/>
                <w:szCs w:val="18"/>
              </w:rPr>
              <w:t xml:space="preserve">A KPI without a written definition cannot be reproduced</w:t>
            </w:r>
          </w:p>
        </w:tc>
      </w:tr>
    </w:tbl>
    <w:p>
      <w:pPr>
        <w:pStyle w:val="Heading1"/>
        <w:spacing w:after="140" w:before="280"/>
      </w:pPr>
      <w:r>
        <w:t xml:space="preserve">6. Evidence from the simulated Users dataset</w:t>
      </w:r>
    </w:p>
    <w:p>
      <w:pPr>
        <w:spacing w:after="120"/>
      </w:pPr>
      <w:r>
        <w:rPr>
          <w:sz w:val="22"/>
          <w:szCs w:val="22"/>
        </w:rPr>
        <w:t xml:space="preserve">Although only the Users dataset was supplied, profiling it surfaced audit-relevant findings that generalise to the wider model (full detail in the companion Simulated Data Profiling and Data Quality Audit workbook):</w:t>
      </w:r>
    </w:p>
    <w:p>
      <w:pPr>
        <w:pStyle w:val="ListParagraph"/>
        <w:numPr>
          <w:ilvl w:val="0"/>
          <w:numId w:val="1"/>
        </w:numPr>
        <w:spacing w:after="60"/>
      </w:pPr>
      <w:r>
        <w:t xml:space="preserve">Two independently-derived concepts - account_status and the is_active_7d / is_active_30d flags - disagree for a meaningful share of records (95 of 283 Inactive-status users are flagged active within 30 days). This is exactly the kind of inconsistency the Coverage Matrix's User Event / System Event / Business Outcome split is meant to prevent: activity flags derived from events should be computed from real event history, not stored as a static, independently-set field.</w:t>
      </w:r>
    </w:p>
    <w:p>
      <w:pPr>
        <w:pStyle w:val="ListParagraph"/>
        <w:numPr>
          <w:ilvl w:val="0"/>
          <w:numId w:val="1"/>
        </w:numPr>
        <w:spacing w:after="60"/>
      </w:pPr>
      <w:r>
        <w:t xml:space="preserve">72 users carry account_status = 'Pending Verification', while 145 carry email_verification_status = 'Pending' - two different verification concepts that are not reconciled.</w:t>
      </w:r>
    </w:p>
    <w:p>
      <w:pPr>
        <w:pStyle w:val="ListParagraph"/>
        <w:numPr>
          <w:ilvl w:val="0"/>
          <w:numId w:val="1"/>
        </w:numPr>
        <w:spacing w:after="60"/>
      </w:pPr>
      <w:r>
        <w:t xml:space="preserve">The referral acquisition field records only a category ('Friend/Family') with no link to the referring user, confirming Gap G03 directly.</w:t>
      </w:r>
    </w:p>
    <w:p>
      <w:pPr>
        <w:pStyle w:val="Heading1"/>
        <w:spacing w:after="140" w:before="280"/>
      </w:pPr>
      <w:r>
        <w:t xml:space="preserve">7. Conclusion</w:t>
      </w:r>
    </w:p>
    <w:p>
      <w:pPr>
        <w:spacing w:after="120"/>
      </w:pPr>
      <w:r>
        <w:rPr>
          <w:sz w:val="22"/>
          <w:szCs w:val="22"/>
        </w:rPr>
        <w:t xml:space="preserve">The product area map and coverage matrix give VELOOP a complete starting inventory of what should eventually be tracked. The audit's main finding is not about any single feature, but about a pattern: derived or status-like fields (activity flags, verification status, account status) are being set independently rather than computed consistently from a single source of truth. This pattern shows up in the simulated sample and is exactly the risk the Data Quality Control Framework (Work Package L) and the event-sourced Data Dictionary in this project are designed to prevent going forward.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2026-10-10T09:41:48.518Z</dcterms:created>
  <dcterms:modified xsi:type="dcterms:W3CDTF">2026-10-10T09:41:48.518Z</dcterms:modified>
</cp:coreProperties>
</file>

<file path=docProps/custom.xml><?xml version="1.0" encoding="utf-8"?>
<Properties xmlns="http://schemas.openxmlformats.org/officeDocument/2006/custom-properties" xmlns:vt="http://schemas.openxmlformats.org/officeDocument/2006/docPropsVTypes"/>
</file>