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VELOOP Rewards - Wallet &amp; Withdrawal Analytics Specification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Work Package D | Version 0.2 (revised 10 October 2026; first issued 28 September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i/>
                <w:iCs/>
                <w:color w:val="7A5B00"/>
                <w:sz w:val="20"/>
                <w:szCs w:val="20"/>
              </w:rPr>
              <w:t xml:space="preserve">All events, fields and definitions below are PROPOSED unless stated otherwise. None are confirmed to exist in VELOOP's production systems.</w:t>
            </w:r>
          </w:p>
        </w:tc>
      </w:tr>
    </w:tbl>
    <w:p>
      <w:pPr>
        <w:pStyle w:val="Heading1"/>
        <w:spacing w:after="140" w:before="280"/>
      </w:pPr>
      <w:r>
        <w:t xml:space="preserve">1. Why this is treated as a major area</w:t>
      </w:r>
    </w:p>
    <w:p>
      <w:pPr>
        <w:spacing w:after="120"/>
      </w:pPr>
      <w:r>
        <w:rPr>
          <w:sz w:val="22"/>
          <w:szCs w:val="22"/>
        </w:rPr>
        <w:t xml:space="preserve">The brief calls this out as a major product-data area, and the design here reflects that: it is the one part of the model where correctness (no lost or duplicated value) matters as much as measurability. Every design choice below is driven by one requirement - that a transaction can never be silently duplicated or lost - because unlike a view count or a session count, a wallet miscount is a trust and possibly a financial problem.</w:t>
      </w:r>
    </w:p>
    <w:p>
      <w:pPr>
        <w:pStyle w:val="Heading1"/>
        <w:spacing w:after="140" w:before="280"/>
      </w:pPr>
      <w:r>
        <w:t xml:space="preserve">2. Wallet transaction model (D1)</w:t>
      </w:r>
    </w:p>
    <w:p>
      <w:pPr>
        <w:spacing w:after="120"/>
      </w:pPr>
      <w:r>
        <w:rPr>
          <w:sz w:val="22"/>
          <w:szCs w:val="22"/>
        </w:rPr>
        <w:t xml:space="preserve">Every ledger entry is proposed as a single transaction_id, immutable once written, carrying: user_id, timestamp, transaction_type, amount, unit, status, source_feature, reference_id (pointing to the reward, withdrawal or exchange that caused it), and an idempotency_key.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Transaction type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reward_credit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reward is added to the wallet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redemption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reward is exchanged for something of value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exchange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unit is converted to another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withdrawal_debit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Funds are removed for a withdrawal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reversal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 earlier entry is reversed, linked via parent_transaction_id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adjustment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manual correction, linked via parent_transaction_id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Proposed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Any transaction type not on this list must be marked Proposed and confirmed with Engineering before being treated as real - the brief is explicit that unsupported types must not be presented as existing.</w:t>
      </w:r>
    </w:p>
    <w:p>
      <w:pPr>
        <w:pStyle w:val="Heading1"/>
        <w:spacing w:after="140" w:before="280"/>
      </w:pPr>
      <w:r>
        <w:t xml:space="preserve">3. Idempotency and deduplication</w:t>
      </w:r>
    </w:p>
    <w:p>
      <w:pPr>
        <w:spacing w:after="120"/>
      </w:pPr>
      <w:r>
        <w:rPr>
          <w:sz w:val="22"/>
          <w:szCs w:val="22"/>
        </w:rPr>
        <w:t xml:space="preserve">The single most important control in this specification is the idempotency_key, required on wallet_transaction_created. Its purpose is narrow but critical: if a request to credit or debit a wallet is retried (network failure, client retry, queue redelivery), the same idempotency_key must resolve to the same transaction_id rather than creating a second entry. This directly addresses the most severe gap found in this project (G02: no verified unique transaction ID for wallet movements) and is backed by Data Quality Control QC08 (unique constraint on transaction_id and idempotency_key at the application layer).</w:t>
      </w:r>
    </w:p>
    <w:p>
      <w:pPr>
        <w:pStyle w:val="Heading1"/>
        <w:spacing w:after="140" w:before="280"/>
      </w:pPr>
      <w:r>
        <w:t xml:space="preserve">4. Withdrawal lifecycle (D2)</w:t>
      </w:r>
    </w:p>
    <w:p>
      <w:pPr>
        <w:spacing w:after="120"/>
      </w:pPr>
      <w:r>
        <w:rPr>
          <w:sz w:val="22"/>
          <w:szCs w:val="22"/>
        </w:rPr>
        <w:t xml:space="preserve">The withdrawal lifecycle is measured as a sequence of states, each with its own timestamp, so that queue time and processing time are both calculable rather than inferred from a single current-status field: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40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timestamp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Requested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withdrawal_requested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requested_at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 review / processing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withdrawal_processing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processing_started_at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withdrawal_completed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final_timestamp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Rejected (alternative)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withdrawal_rejected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final_timestamp + reason_category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Reversed (alternative, after completion)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withdrawal_reversed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final_timestamp + reason_category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Every withdrawal_id proposed here is required to hold: user_id, requested_amount, method, requested_at, processing_started_at, final_timestamp, status, and reason_category where applicable. Rejection reasons are limited to a structured category list (incomplete_details, verification_required, provider_failure, user_cancelled, insufficient_balance, other) - no internal fraud rules or security thresholds are recorded here, per the brief's prohibition on inventing internal security mechanisms.</w:t>
      </w:r>
    </w:p>
    <w:p>
      <w:pPr>
        <w:pStyle w:val="Heading1"/>
        <w:spacing w:after="140" w:before="280"/>
      </w:pPr>
      <w:r>
        <w:t xml:space="preserve">5. Withdrawal KPIs (D3)</w:t>
      </w:r>
    </w:p>
    <w:p>
      <w:pPr>
        <w:spacing w:after="120"/>
      </w:pPr>
      <w:r>
        <w:rPr>
          <w:sz w:val="22"/>
          <w:szCs w:val="22"/>
        </w:rPr>
        <w:t xml:space="preserve">10 withdrawal KPIs are defined in the KPI Catalogue (D01-D10), covering requests, completions, pending queue size and age, rejections, reversals, processing time, completion rate, volume, and method distribution. Each follows the required format: name, definition, formula, required fields, source, frequency, stakeholder, purpose, interpretation, limitation and status. None carry an invented target - for example, Median Processing Time (D06) is defined as a calculation, with no claim about what VELOOP's actual processing time is or should be.</w:t>
      </w:r>
    </w:p>
    <w:p>
      <w:pPr>
        <w:pStyle w:val="Heading1"/>
        <w:spacing w:after="140" w:before="280"/>
      </w:pPr>
      <w:r>
        <w:t xml:space="preserve">6. Reconciliation</w:t>
      </w:r>
    </w:p>
    <w:p>
      <w:pPr>
        <w:spacing w:after="120"/>
      </w:pPr>
      <w:r>
        <w:rPr>
          <w:sz w:val="22"/>
          <w:szCs w:val="22"/>
        </w:rPr>
        <w:t xml:space="preserve">Two Data Quality Controls exist specifically for this area: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QC17 - every credited reward should correspond to exactly one completed wallet credit entry; unmatched items are reported daily.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QC18 - every completed withdrawal should correspond to exactly one debit entry; unmatched items are reported daily.</w:t>
      </w:r>
    </w:p>
    <w:p>
      <w:pPr>
        <w:spacing w:after="120"/>
      </w:pPr>
      <w:r>
        <w:rPr>
          <w:sz w:val="22"/>
          <w:szCs w:val="22"/>
        </w:rPr>
        <w:t xml:space="preserve">These controls turn 'the wallet numbers add up' from an assumption into something that is actually checked on an ongoing basis.</w:t>
      </w:r>
    </w:p>
    <w:p>
      <w:pPr>
        <w:pStyle w:val="Heading1"/>
        <w:spacing w:after="140" w:before="280"/>
      </w:pPr>
      <w:r>
        <w:t xml:space="preserve">7. Related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definitions: Event Tracking Plan, Wallet and Withdrawals groups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 definitions: Data Dictionary, Wallet_Transactions and Withdrawals entities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KPIs: KPI Catalogue, W01-W06 (wallet) and D01-D10 (withdrawal)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questions: Assumption Register A008, A009, A010, A011, A028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2026-10-10T09:41:48.933Z</dcterms:created>
  <dcterms:modified xsi:type="dcterms:W3CDTF">2026-10-10T09:41:48.933Z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