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VELOOP Rewards - Data Access, Privacy &amp; Governance Proposal</w:t>
      </w:r>
    </w:p>
    <w:p>
      <w:pPr>
        <w:spacing w:after="120"/>
      </w:pPr>
      <w:r>
        <w:rPr>
          <w:i/>
          <w:iCs/>
          <w:sz w:val="22"/>
          <w:szCs w:val="22"/>
        </w:rPr>
        <w:t xml:space="preserve">Work Package P | Version 0.2 (revised 10 October 2026; first issued 28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This is a PROPOSED access and governance model. It has not been reviewed by Legal or implemented in any data platform.</w:t>
            </w:r>
          </w:p>
        </w:tc>
      </w:tr>
    </w:tbl>
    <w:p>
      <w:pPr>
        <w:pStyle w:val="Heading1"/>
        <w:spacing w:after="140" w:before="280"/>
      </w:pPr>
      <w:r>
        <w:t xml:space="preserve">1. Access model (basic role structure)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600"/>
        <w:gridCol w:w="3600"/>
      </w:tblGrid>
      <w:tr>
        <w:trPr>
          <w:tblHeader/>
        </w:trPr>
        <w:tc>
          <w:tcPr>
            <w:tcW w:type="dxa" w:w="1900"/>
            <w:shd w:fill="1F3864" w:val="clear"/>
            <w:tcMar>
              <w:top w:type="dxa" w:w="80"/>
              <w:left w:type="dxa" w:w="100"/>
              <w:bottom w:type="dxa" w:w="80"/>
              <w:right w:type="dxa" w:w="100"/>
            </w:tcMar>
            <w:vAlign w:val="center"/>
          </w:tcPr>
          <w:p>
            <w:r>
              <w:rPr>
                <w:b/>
                <w:bCs/>
                <w:color w:val="FFFFFF"/>
                <w:sz w:val="18"/>
                <w:szCs w:val="18"/>
              </w:rPr>
              <w:t xml:space="preserve">Role</w:t>
            </w:r>
          </w:p>
        </w:tc>
        <w:tc>
          <w:tcPr>
            <w:tcW w:type="dxa" w:w="2400"/>
            <w:shd w:fill="1F3864" w:val="clear"/>
            <w:tcMar>
              <w:top w:type="dxa" w:w="80"/>
              <w:left w:type="dxa" w:w="100"/>
              <w:bottom w:type="dxa" w:w="80"/>
              <w:right w:type="dxa" w:w="100"/>
            </w:tcMar>
            <w:vAlign w:val="center"/>
          </w:tcPr>
          <w:p>
            <w:r>
              <w:rPr>
                <w:b/>
                <w:bCs/>
                <w:color w:val="FFFFFF"/>
                <w:sz w:val="18"/>
                <w:szCs w:val="18"/>
              </w:rPr>
              <w:t xml:space="preserve">Purpose</w:t>
            </w:r>
          </w:p>
        </w:tc>
        <w:tc>
          <w:tcPr>
            <w:tcW w:type="dxa" w:w="3600"/>
            <w:shd w:fill="1F3864" w:val="clear"/>
            <w:tcMar>
              <w:top w:type="dxa" w:w="80"/>
              <w:left w:type="dxa" w:w="100"/>
              <w:bottom w:type="dxa" w:w="80"/>
              <w:right w:type="dxa" w:w="100"/>
            </w:tcMar>
            <w:vAlign w:val="center"/>
          </w:tcPr>
          <w:p>
            <w:r>
              <w:rPr>
                <w:b/>
                <w:bCs/>
                <w:color w:val="FFFFFF"/>
                <w:sz w:val="18"/>
                <w:szCs w:val="18"/>
              </w:rPr>
              <w:t xml:space="preserve">May access</w:t>
            </w:r>
          </w:p>
        </w:tc>
        <w:tc>
          <w:tcPr>
            <w:tcW w:type="dxa" w:w="3600"/>
            <w:shd w:fill="1F3864" w:val="clear"/>
            <w:tcMar>
              <w:top w:type="dxa" w:w="80"/>
              <w:left w:type="dxa" w:w="100"/>
              <w:bottom w:type="dxa" w:w="80"/>
              <w:right w:type="dxa" w:w="100"/>
            </w:tcMar>
            <w:vAlign w:val="center"/>
          </w:tcPr>
          <w:p>
            <w:r>
              <w:rPr>
                <w:b/>
                <w:bCs/>
                <w:color w:val="FFFFFF"/>
                <w:sz w:val="18"/>
                <w:szCs w:val="18"/>
              </w:rPr>
              <w:t xml:space="preserve">Must not access</w:t>
            </w:r>
          </w:p>
        </w:tc>
      </w:tr>
      <w:tr>
        <w:tc>
          <w:tcPr>
            <w:tcW w:type="dxa" w:w="1900"/>
            <w:tcMar>
              <w:top w:type="dxa" w:w="80"/>
              <w:left w:type="dxa" w:w="100"/>
              <w:bottom w:type="dxa" w:w="80"/>
              <w:right w:type="dxa" w:w="100"/>
            </w:tcMar>
            <w:vAlign w:val="center"/>
          </w:tcPr>
          <w:p>
            <w:r>
              <w:rPr>
                <w:sz w:val="18"/>
                <w:szCs w:val="18"/>
              </w:rPr>
              <w:t xml:space="preserve">Engineering</w:t>
            </w:r>
          </w:p>
        </w:tc>
        <w:tc>
          <w:tcPr>
            <w:tcW w:type="dxa" w:w="2400"/>
            <w:tcMar>
              <w:top w:type="dxa" w:w="80"/>
              <w:left w:type="dxa" w:w="100"/>
              <w:bottom w:type="dxa" w:w="80"/>
              <w:right w:type="dxa" w:w="100"/>
            </w:tcMar>
            <w:vAlign w:val="center"/>
          </w:tcPr>
          <w:p>
            <w:r>
              <w:rPr>
                <w:sz w:val="18"/>
                <w:szCs w:val="18"/>
              </w:rPr>
              <w:t xml:space="preserve">Implements event capture and pipeline</w:t>
            </w:r>
          </w:p>
        </w:tc>
        <w:tc>
          <w:tcPr>
            <w:tcW w:type="dxa" w:w="3600"/>
            <w:tcMar>
              <w:top w:type="dxa" w:w="80"/>
              <w:left w:type="dxa" w:w="100"/>
              <w:bottom w:type="dxa" w:w="80"/>
              <w:right w:type="dxa" w:w="100"/>
            </w:tcMar>
            <w:vAlign w:val="center"/>
          </w:tcPr>
          <w:p>
            <w:r>
              <w:rPr>
                <w:sz w:val="18"/>
                <w:szCs w:val="18"/>
              </w:rPr>
              <w:t xml:space="preserve">Raw events, schemas, pipeline logs</w:t>
            </w:r>
          </w:p>
        </w:tc>
        <w:tc>
          <w:tcPr>
            <w:tcW w:type="dxa" w:w="3600"/>
            <w:tcMar>
              <w:top w:type="dxa" w:w="80"/>
              <w:left w:type="dxa" w:w="100"/>
              <w:bottom w:type="dxa" w:w="80"/>
              <w:right w:type="dxa" w:w="100"/>
            </w:tcMar>
            <w:vAlign w:val="center"/>
          </w:tcPr>
          <w:p>
            <w:r>
              <w:rPr>
                <w:sz w:val="18"/>
                <w:szCs w:val="18"/>
              </w:rPr>
              <w:t xml:space="preserve">Business dashboards beyond what's needed for testing</w:t>
            </w:r>
          </w:p>
        </w:tc>
      </w:tr>
      <w:tr>
        <w:tc>
          <w:tcPr>
            <w:tcW w:type="dxa" w:w="1900"/>
            <w:shd w:fill="F2F2F2" w:val="clear"/>
            <w:tcMar>
              <w:top w:type="dxa" w:w="80"/>
              <w:left w:type="dxa" w:w="100"/>
              <w:bottom w:type="dxa" w:w="80"/>
              <w:right w:type="dxa" w:w="100"/>
            </w:tcMar>
            <w:vAlign w:val="center"/>
          </w:tcPr>
          <w:p>
            <w:r>
              <w:rPr>
                <w:sz w:val="18"/>
                <w:szCs w:val="18"/>
              </w:rPr>
              <w:t xml:space="preserve">Data Analyst</w:t>
            </w:r>
          </w:p>
        </w:tc>
        <w:tc>
          <w:tcPr>
            <w:tcW w:type="dxa" w:w="2400"/>
            <w:shd w:fill="F2F2F2" w:val="clear"/>
            <w:tcMar>
              <w:top w:type="dxa" w:w="80"/>
              <w:left w:type="dxa" w:w="100"/>
              <w:bottom w:type="dxa" w:w="80"/>
              <w:right w:type="dxa" w:w="100"/>
            </w:tcMar>
            <w:vAlign w:val="center"/>
          </w:tcPr>
          <w:p>
            <w:r>
              <w:rPr>
                <w:sz w:val="18"/>
                <w:szCs w:val="18"/>
              </w:rPr>
              <w:t xml:space="preserve">Builds and maintains KPIs and reporting</w:t>
            </w:r>
          </w:p>
        </w:tc>
        <w:tc>
          <w:tcPr>
            <w:tcW w:type="dxa" w:w="3600"/>
            <w:shd w:fill="F2F2F2" w:val="clear"/>
            <w:tcMar>
              <w:top w:type="dxa" w:w="80"/>
              <w:left w:type="dxa" w:w="100"/>
              <w:bottom w:type="dxa" w:w="80"/>
              <w:right w:type="dxa" w:w="100"/>
            </w:tcMar>
            <w:vAlign w:val="center"/>
          </w:tcPr>
          <w:p>
            <w:r>
              <w:rPr>
                <w:sz w:val="18"/>
                <w:szCs w:val="18"/>
              </w:rPr>
              <w:t xml:space="preserve">Approved analytical datasets; raw layer only for debugging, under supervision</w:t>
            </w:r>
          </w:p>
        </w:tc>
        <w:tc>
          <w:tcPr>
            <w:tcW w:type="dxa" w:w="3600"/>
            <w:shd w:fill="F2F2F2" w:val="clear"/>
            <w:tcMar>
              <w:top w:type="dxa" w:w="80"/>
              <w:left w:type="dxa" w:w="100"/>
              <w:bottom w:type="dxa" w:w="80"/>
              <w:right w:type="dxa" w:w="100"/>
            </w:tcMar>
            <w:vAlign w:val="center"/>
          </w:tcPr>
          <w:p>
            <w:r>
              <w:rPr>
                <w:sz w:val="18"/>
                <w:szCs w:val="18"/>
              </w:rPr>
              <w:t xml:space="preserve">Passwords, authentication secrets, API keys, payment credentials, private security controls</w:t>
            </w:r>
          </w:p>
        </w:tc>
      </w:tr>
      <w:tr>
        <w:tc>
          <w:tcPr>
            <w:tcW w:type="dxa" w:w="1900"/>
            <w:tcMar>
              <w:top w:type="dxa" w:w="80"/>
              <w:left w:type="dxa" w:w="100"/>
              <w:bottom w:type="dxa" w:w="80"/>
              <w:right w:type="dxa" w:w="100"/>
            </w:tcMar>
            <w:vAlign w:val="center"/>
          </w:tcPr>
          <w:p>
            <w:r>
              <w:rPr>
                <w:sz w:val="18"/>
                <w:szCs w:val="18"/>
              </w:rPr>
              <w:t xml:space="preserve">Product / Operations</w:t>
            </w:r>
          </w:p>
        </w:tc>
        <w:tc>
          <w:tcPr>
            <w:tcW w:type="dxa" w:w="2400"/>
            <w:tcMar>
              <w:top w:type="dxa" w:w="80"/>
              <w:left w:type="dxa" w:w="100"/>
              <w:bottom w:type="dxa" w:w="80"/>
              <w:right w:type="dxa" w:w="100"/>
            </w:tcMar>
            <w:vAlign w:val="center"/>
          </w:tcPr>
          <w:p>
            <w:r>
              <w:rPr>
                <w:sz w:val="18"/>
                <w:szCs w:val="18"/>
              </w:rPr>
              <w:t xml:space="preserve">Business reporting</w:t>
            </w:r>
          </w:p>
        </w:tc>
        <w:tc>
          <w:tcPr>
            <w:tcW w:type="dxa" w:w="3600"/>
            <w:tcMar>
              <w:top w:type="dxa" w:w="80"/>
              <w:left w:type="dxa" w:w="100"/>
              <w:bottom w:type="dxa" w:w="80"/>
              <w:right w:type="dxa" w:w="100"/>
            </w:tcMar>
            <w:vAlign w:val="center"/>
          </w:tcPr>
          <w:p>
            <w:r>
              <w:rPr>
                <w:sz w:val="18"/>
                <w:szCs w:val="18"/>
              </w:rPr>
              <w:t xml:space="preserve">Dashboards, aggregate exports</w:t>
            </w:r>
          </w:p>
        </w:tc>
        <w:tc>
          <w:tcPr>
            <w:tcW w:type="dxa" w:w="3600"/>
            <w:tcMar>
              <w:top w:type="dxa" w:w="80"/>
              <w:left w:type="dxa" w:w="100"/>
              <w:bottom w:type="dxa" w:w="80"/>
              <w:right w:type="dxa" w:w="100"/>
            </w:tcMar>
            <w:vAlign w:val="center"/>
          </w:tcPr>
          <w:p>
            <w:r>
              <w:rPr>
                <w:sz w:val="18"/>
                <w:szCs w:val="18"/>
              </w:rPr>
              <w:t xml:space="preserve">User-level rows containing personal data</w:t>
            </w:r>
          </w:p>
        </w:tc>
      </w:tr>
      <w:tr>
        <w:tc>
          <w:tcPr>
            <w:tcW w:type="dxa" w:w="1900"/>
            <w:shd w:fill="F2F2F2" w:val="clear"/>
            <w:tcMar>
              <w:top w:type="dxa" w:w="80"/>
              <w:left w:type="dxa" w:w="100"/>
              <w:bottom w:type="dxa" w:w="80"/>
              <w:right w:type="dxa" w:w="100"/>
            </w:tcMar>
            <w:vAlign w:val="center"/>
          </w:tcPr>
          <w:p>
            <w:r>
              <w:rPr>
                <w:sz w:val="18"/>
                <w:szCs w:val="18"/>
              </w:rPr>
              <w:t xml:space="preserve">Finance</w:t>
            </w:r>
          </w:p>
        </w:tc>
        <w:tc>
          <w:tcPr>
            <w:tcW w:type="dxa" w:w="2400"/>
            <w:shd w:fill="F2F2F2" w:val="clear"/>
            <w:tcMar>
              <w:top w:type="dxa" w:w="80"/>
              <w:left w:type="dxa" w:w="100"/>
              <w:bottom w:type="dxa" w:w="80"/>
              <w:right w:type="dxa" w:w="100"/>
            </w:tcMar>
            <w:vAlign w:val="center"/>
          </w:tcPr>
          <w:p>
            <w:r>
              <w:rPr>
                <w:sz w:val="18"/>
                <w:szCs w:val="18"/>
              </w:rPr>
              <w:t xml:space="preserve">Wallet and withdrawal reconciliation</w:t>
            </w:r>
          </w:p>
        </w:tc>
        <w:tc>
          <w:tcPr>
            <w:tcW w:type="dxa" w:w="3600"/>
            <w:shd w:fill="F2F2F2" w:val="clear"/>
            <w:tcMar>
              <w:top w:type="dxa" w:w="80"/>
              <w:left w:type="dxa" w:w="100"/>
              <w:bottom w:type="dxa" w:w="80"/>
              <w:right w:type="dxa" w:w="100"/>
            </w:tcMar>
            <w:vAlign w:val="center"/>
          </w:tcPr>
          <w:p>
            <w:r>
              <w:rPr>
                <w:sz w:val="18"/>
                <w:szCs w:val="18"/>
              </w:rPr>
              <w:t xml:space="preserve">Wallet and withdrawal aggregates and reconciliation reports</w:t>
            </w:r>
          </w:p>
        </w:tc>
        <w:tc>
          <w:tcPr>
            <w:tcW w:type="dxa" w:w="3600"/>
            <w:shd w:fill="F2F2F2" w:val="clear"/>
            <w:tcMar>
              <w:top w:type="dxa" w:w="80"/>
              <w:left w:type="dxa" w:w="100"/>
              <w:bottom w:type="dxa" w:w="80"/>
              <w:right w:type="dxa" w:w="100"/>
            </w:tcMar>
            <w:vAlign w:val="center"/>
          </w:tcPr>
          <w:p>
            <w:r>
              <w:rPr>
                <w:sz w:val="18"/>
                <w:szCs w:val="18"/>
              </w:rPr>
              <w:t xml:space="preserve">Unmasked personal data</w:t>
            </w:r>
          </w:p>
        </w:tc>
      </w:tr>
      <w:tr>
        <w:tc>
          <w:tcPr>
            <w:tcW w:type="dxa" w:w="1900"/>
            <w:tcMar>
              <w:top w:type="dxa" w:w="80"/>
              <w:left w:type="dxa" w:w="100"/>
              <w:bottom w:type="dxa" w:w="80"/>
              <w:right w:type="dxa" w:w="100"/>
            </w:tcMar>
            <w:vAlign w:val="center"/>
          </w:tcPr>
          <w:p>
            <w:r>
              <w:rPr>
                <w:sz w:val="18"/>
                <w:szCs w:val="18"/>
              </w:rPr>
              <w:t xml:space="preserve">Content Team</w:t>
            </w:r>
          </w:p>
        </w:tc>
        <w:tc>
          <w:tcPr>
            <w:tcW w:type="dxa" w:w="2400"/>
            <w:tcMar>
              <w:top w:type="dxa" w:w="80"/>
              <w:left w:type="dxa" w:w="100"/>
              <w:bottom w:type="dxa" w:w="80"/>
              <w:right w:type="dxa" w:w="100"/>
            </w:tcMar>
            <w:vAlign w:val="center"/>
          </w:tcPr>
          <w:p>
            <w:r>
              <w:rPr>
                <w:sz w:val="18"/>
                <w:szCs w:val="18"/>
              </w:rPr>
              <w:t xml:space="preserve">Content performance reporting</w:t>
            </w:r>
          </w:p>
        </w:tc>
        <w:tc>
          <w:tcPr>
            <w:tcW w:type="dxa" w:w="3600"/>
            <w:tcMar>
              <w:top w:type="dxa" w:w="80"/>
              <w:left w:type="dxa" w:w="100"/>
              <w:bottom w:type="dxa" w:w="80"/>
              <w:right w:type="dxa" w:w="100"/>
            </w:tcMar>
            <w:vAlign w:val="center"/>
          </w:tcPr>
          <w:p>
            <w:r>
              <w:rPr>
                <w:sz w:val="18"/>
                <w:szCs w:val="18"/>
              </w:rPr>
              <w:t xml:space="preserve">Help-center and content KPIs (aggregated)</w:t>
            </w:r>
          </w:p>
        </w:tc>
        <w:tc>
          <w:tcPr>
            <w:tcW w:type="dxa" w:w="3600"/>
            <w:tcMar>
              <w:top w:type="dxa" w:w="80"/>
              <w:left w:type="dxa" w:w="100"/>
              <w:bottom w:type="dxa" w:w="80"/>
              <w:right w:type="dxa" w:w="100"/>
            </w:tcMar>
            <w:vAlign w:val="center"/>
          </w:tcPr>
          <w:p>
            <w:r>
              <w:rPr>
                <w:sz w:val="18"/>
                <w:szCs w:val="18"/>
              </w:rPr>
              <w:t xml:space="preserve">User-level data</w:t>
            </w:r>
          </w:p>
        </w:tc>
      </w:tr>
      <w:tr>
        <w:tc>
          <w:tcPr>
            <w:tcW w:type="dxa" w:w="1900"/>
            <w:shd w:fill="F2F2F2" w:val="clear"/>
            <w:tcMar>
              <w:top w:type="dxa" w:w="80"/>
              <w:left w:type="dxa" w:w="100"/>
              <w:bottom w:type="dxa" w:w="80"/>
              <w:right w:type="dxa" w:w="100"/>
            </w:tcMar>
            <w:vAlign w:val="center"/>
          </w:tcPr>
          <w:p>
            <w:r>
              <w:rPr>
                <w:sz w:val="18"/>
                <w:szCs w:val="18"/>
              </w:rPr>
              <w:t xml:space="preserve">Marketing</w:t>
            </w:r>
          </w:p>
        </w:tc>
        <w:tc>
          <w:tcPr>
            <w:tcW w:type="dxa" w:w="2400"/>
            <w:shd w:fill="F2F2F2" w:val="clear"/>
            <w:tcMar>
              <w:top w:type="dxa" w:w="80"/>
              <w:left w:type="dxa" w:w="100"/>
              <w:bottom w:type="dxa" w:w="80"/>
              <w:right w:type="dxa" w:w="100"/>
            </w:tcMar>
            <w:vAlign w:val="center"/>
          </w:tcPr>
          <w:p>
            <w:r>
              <w:rPr>
                <w:sz w:val="18"/>
                <w:szCs w:val="18"/>
              </w:rPr>
              <w:t xml:space="preserve">Acquisition reporting</w:t>
            </w:r>
          </w:p>
        </w:tc>
        <w:tc>
          <w:tcPr>
            <w:tcW w:type="dxa" w:w="3600"/>
            <w:shd w:fill="F2F2F2" w:val="clear"/>
            <w:tcMar>
              <w:top w:type="dxa" w:w="80"/>
              <w:left w:type="dxa" w:w="100"/>
              <w:bottom w:type="dxa" w:w="80"/>
              <w:right w:type="dxa" w:w="100"/>
            </w:tcMar>
            <w:vAlign w:val="center"/>
          </w:tcPr>
          <w:p>
            <w:r>
              <w:rPr>
                <w:sz w:val="18"/>
                <w:szCs w:val="18"/>
              </w:rPr>
              <w:t xml:space="preserve">Acquisition dashboards (aggregated)</w:t>
            </w:r>
          </w:p>
        </w:tc>
        <w:tc>
          <w:tcPr>
            <w:tcW w:type="dxa" w:w="3600"/>
            <w:shd w:fill="F2F2F2" w:val="clear"/>
            <w:tcMar>
              <w:top w:type="dxa" w:w="80"/>
              <w:left w:type="dxa" w:w="100"/>
              <w:bottom w:type="dxa" w:w="80"/>
              <w:right w:type="dxa" w:w="100"/>
            </w:tcMar>
            <w:vAlign w:val="center"/>
          </w:tcPr>
          <w:p>
            <w:r>
              <w:rPr>
                <w:sz w:val="18"/>
                <w:szCs w:val="18"/>
              </w:rPr>
              <w:t xml:space="preserve">User-level contact details</w:t>
            </w:r>
          </w:p>
        </w:tc>
      </w:tr>
      <w:tr>
        <w:tc>
          <w:tcPr>
            <w:tcW w:type="dxa" w:w="1900"/>
            <w:tcMar>
              <w:top w:type="dxa" w:w="80"/>
              <w:left w:type="dxa" w:w="100"/>
              <w:bottom w:type="dxa" w:w="80"/>
              <w:right w:type="dxa" w:w="100"/>
            </w:tcMar>
            <w:vAlign w:val="center"/>
          </w:tcPr>
          <w:p>
            <w:r>
              <w:rPr>
                <w:sz w:val="18"/>
                <w:szCs w:val="18"/>
              </w:rPr>
              <w:t xml:space="preserve">Intern</w:t>
            </w:r>
          </w:p>
        </w:tc>
        <w:tc>
          <w:tcPr>
            <w:tcW w:type="dxa" w:w="2400"/>
            <w:tcMar>
              <w:top w:type="dxa" w:w="80"/>
              <w:left w:type="dxa" w:w="100"/>
              <w:bottom w:type="dxa" w:w="80"/>
              <w:right w:type="dxa" w:w="100"/>
            </w:tcMar>
            <w:vAlign w:val="center"/>
          </w:tcPr>
          <w:p>
            <w:r>
              <w:rPr>
                <w:sz w:val="18"/>
                <w:szCs w:val="18"/>
              </w:rPr>
              <w:t xml:space="preserve">Learning and approved project work</w:t>
            </w:r>
          </w:p>
        </w:tc>
        <w:tc>
          <w:tcPr>
            <w:tcW w:type="dxa" w:w="3600"/>
            <w:tcMar>
              <w:top w:type="dxa" w:w="80"/>
              <w:left w:type="dxa" w:w="100"/>
              <w:bottom w:type="dxa" w:w="80"/>
              <w:right w:type="dxa" w:w="100"/>
            </w:tcMar>
            <w:vAlign w:val="center"/>
          </w:tcPr>
          <w:p>
            <w:r>
              <w:rPr>
                <w:sz w:val="18"/>
                <w:szCs w:val="18"/>
              </w:rPr>
              <w:t xml:space="preserve">Only approved, sanitised datasets, such as the simulated file used in this project</w:t>
            </w:r>
          </w:p>
        </w:tc>
        <w:tc>
          <w:tcPr>
            <w:tcW w:type="dxa" w:w="3600"/>
            <w:tcMar>
              <w:top w:type="dxa" w:w="80"/>
              <w:left w:type="dxa" w:w="100"/>
              <w:bottom w:type="dxa" w:w="80"/>
              <w:right w:type="dxa" w:w="100"/>
            </w:tcMar>
            <w:vAlign w:val="center"/>
          </w:tcPr>
          <w:p>
            <w:r>
              <w:rPr>
                <w:sz w:val="18"/>
                <w:szCs w:val="18"/>
              </w:rPr>
              <w:t xml:space="preserve">Any production data; credentials; personal data</w:t>
            </w:r>
          </w:p>
        </w:tc>
      </w:tr>
    </w:tbl>
    <w:p>
      <w:pPr>
        <w:pStyle w:val="Heading1"/>
        <w:spacing w:after="140" w:before="280"/>
      </w:pPr>
      <w:r>
        <w:t xml:space="preserve">2. Information that must never be exposed to analytics roles</w:t>
      </w:r>
    </w:p>
    <w:p>
      <w:pPr>
        <w:pStyle w:val="ListParagraph"/>
        <w:numPr>
          <w:ilvl w:val="0"/>
          <w:numId w:val="1"/>
        </w:numPr>
        <w:spacing w:after="60"/>
      </w:pPr>
      <w:r>
        <w:t xml:space="preserve">Passwords and password hashes</w:t>
      </w:r>
    </w:p>
    <w:p>
      <w:pPr>
        <w:pStyle w:val="ListParagraph"/>
        <w:numPr>
          <w:ilvl w:val="0"/>
          <w:numId w:val="1"/>
        </w:numPr>
        <w:spacing w:after="60"/>
      </w:pPr>
      <w:r>
        <w:t xml:space="preserve">Authentication secrets, tokens and session secrets</w:t>
      </w:r>
    </w:p>
    <w:p>
      <w:pPr>
        <w:pStyle w:val="ListParagraph"/>
        <w:numPr>
          <w:ilvl w:val="0"/>
          <w:numId w:val="1"/>
        </w:numPr>
        <w:spacing w:after="60"/>
      </w:pPr>
      <w:r>
        <w:t xml:space="preserve">API keys and service credentials</w:t>
      </w:r>
    </w:p>
    <w:p>
      <w:pPr>
        <w:pStyle w:val="ListParagraph"/>
        <w:numPr>
          <w:ilvl w:val="0"/>
          <w:numId w:val="1"/>
        </w:numPr>
        <w:spacing w:after="60"/>
      </w:pPr>
      <w:r>
        <w:t xml:space="preserve">Payment credentials and full account numbers</w:t>
      </w:r>
    </w:p>
    <w:p>
      <w:pPr>
        <w:pStyle w:val="ListParagraph"/>
        <w:numPr>
          <w:ilvl w:val="0"/>
          <w:numId w:val="1"/>
        </w:numPr>
        <w:spacing w:after="60"/>
      </w:pPr>
      <w:r>
        <w:t xml:space="preserve">Private security controls and fraud rules - this project does not define or guess at any, per the brief's prohibition on inventing internal security mechanisms</w:t>
      </w:r>
    </w:p>
    <w:p>
      <w:pPr>
        <w:pStyle w:val="Heading1"/>
        <w:spacing w:after="140" w:before="280"/>
      </w:pPr>
      <w:r>
        <w:t xml:space="preserve">3. Personal data minimisation</w:t>
      </w:r>
    </w:p>
    <w:p>
      <w:pPr>
        <w:spacing w:after="120"/>
      </w:pPr>
      <w:r>
        <w:rPr>
          <w:sz w:val="22"/>
          <w:szCs w:val="22"/>
        </w:rPr>
        <w:t xml:space="preserve">The supplied simulated Users dataset includes full_name, email, exact age and gender - none of which are required by any KPI in the catalogue. This proposal recommends:</w:t>
      </w:r>
    </w:p>
    <w:p>
      <w:pPr>
        <w:pStyle w:val="ListParagraph"/>
        <w:numPr>
          <w:ilvl w:val="0"/>
          <w:numId w:val="1"/>
        </w:numPr>
        <w:spacing w:after="60"/>
      </w:pPr>
      <w:r>
        <w:t xml:space="preserve">Excluding full_name and email entirely from the analytics layer; user_id is sufficient for all joins and reporting.</w:t>
      </w:r>
    </w:p>
    <w:p>
      <w:pPr>
        <w:pStyle w:val="ListParagraph"/>
        <w:numPr>
          <w:ilvl w:val="0"/>
          <w:numId w:val="1"/>
        </w:numPr>
        <w:spacing w:after="60"/>
      </w:pPr>
      <w:r>
        <w:t xml:space="preserve">Replacing exact age with an age_band (e.g. 18-24, 25-34, 35+) wherever a demographic view is genuinely needed, rather than storing exact age in reporting tables.</w:t>
      </w:r>
    </w:p>
    <w:p>
      <w:pPr>
        <w:pStyle w:val="ListParagraph"/>
        <w:numPr>
          <w:ilvl w:val="0"/>
          <w:numId w:val="1"/>
        </w:numPr>
        <w:spacing w:after="60"/>
      </w:pPr>
      <w:r>
        <w:t xml:space="preserve">Treating gender as an optional, aggregated-only field, never surfaced at the individual-user level in a dashboard.</w:t>
      </w:r>
    </w:p>
    <w:p>
      <w:pPr>
        <w:pStyle w:val="ListParagraph"/>
        <w:numPr>
          <w:ilvl w:val="0"/>
          <w:numId w:val="1"/>
        </w:numPr>
        <w:spacing w:after="60"/>
      </w:pPr>
      <w:r>
        <w:t xml:space="preserve">Restricting geographic detail to state/region rather than exact city where city-level detail is not required for a specific, named business question.</w:t>
      </w:r>
    </w:p>
    <w:p>
      <w:pPr>
        <w:spacing w:after="120"/>
      </w:pPr>
      <w:r>
        <w:rPr>
          <w:sz w:val="22"/>
          <w:szCs w:val="22"/>
        </w:rPr>
        <w:t xml:space="preserve">This follows the brief's instruction directly: 'do not request unnecessary personal information.' Every field proposed for exclusion is marked as such in the Data Dictionary and User Analytics Specification.</w:t>
      </w:r>
    </w:p>
    <w:p>
      <w:pPr>
        <w:pStyle w:val="Heading1"/>
        <w:spacing w:after="140" w:before="280"/>
      </w:pPr>
      <w:r>
        <w:t xml:space="preserve">4. Consent handling</w:t>
      </w:r>
    </w:p>
    <w:p>
      <w:pPr>
        <w:spacing w:after="120"/>
      </w:pPr>
      <w:r>
        <w:rPr>
          <w:sz w:val="22"/>
          <w:szCs w:val="22"/>
        </w:rPr>
        <w:t xml:space="preserve">Profiling the simulated Users sample found 77 users with consent_status = 'Pending', 40 of whom are also account_status = 'Active' (Data Quality issue DQ13). This is flagged as a governance risk, not just a data quality one: if this pattern held in production, it would mean active accounts exist whose consent state has not been confirmed. This proposal recommends that consent capture and account activation be explicitly linked - either consent must be resolved before an account can be Active, or the two are deliberately independent and that decision is documented, not left ambiguous.</w:t>
      </w:r>
    </w:p>
    <w:p>
      <w:pPr>
        <w:pStyle w:val="Heading1"/>
        <w:spacing w:after="140" w:before="280"/>
      </w:pPr>
      <w:r>
        <w:t xml:space="preserve">5. Data retention and deletion</w:t>
      </w:r>
    </w:p>
    <w:p>
      <w:pPr>
        <w:spacing w:after="120"/>
      </w:pPr>
      <w:r>
        <w:rPr>
          <w:sz w:val="22"/>
          <w:szCs w:val="22"/>
        </w:rPr>
        <w:t xml:space="preserve">No retention or deletion policy is currently known (Assumption A025). This proposal does not invent specific retention periods, since that is a Legal and Product decision, but recommends that one be defined before production event data accumulates, covering: how long raw events are retained, how long analytical/aggregated data is retained, and how a user's data is removed on request.</w:t>
      </w:r>
    </w:p>
    <w:p>
      <w:pPr>
        <w:pStyle w:val="Heading1"/>
        <w:spacing w:after="140" w:before="280"/>
      </w:pPr>
      <w:r>
        <w:t xml:space="preserve">6. Governance for a developing product (change management)</w:t>
      </w:r>
    </w:p>
    <w:p>
      <w:pPr>
        <w:spacing w:after="120"/>
      </w:pPr>
      <w:r>
        <w:rPr>
          <w:sz w:val="22"/>
          <w:szCs w:val="22"/>
        </w:rPr>
        <w:t xml:space="preserve">Work Package Q requires a Metric/Event Change Log for when a feature, event, reward mechanic, withdrawal method, field name, KPI definition or dashboard changes. This is treated as a governance control, not just documentation, because an unlogged definition change is the most common way a metric silently becomes untrustworthy over time - a dashboard showing 'Active Users' before and after a silent redefinition looks continuous but is not comparable. The baseline Change Log (version 0.1) is included in the Analytics Design Workbook; every future definition change should be added there before it takes effect.</w:t>
      </w:r>
    </w:p>
    <w:p>
      <w:pPr>
        <w:pStyle w:val="Heading1"/>
        <w:spacing w:after="140" w:before="280"/>
      </w:pPr>
      <w:r>
        <w:t xml:space="preserve">7. Handling of simulated versus production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Non-negotiable rule from the brief: when production data eventually becomes available, simulated datasets must be replaced by appropriately governed production data, never silently mixed with it. Every file in this project that touches the simulated dataset states this explicitly.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2026-10-10T09:41:49.536Z</dcterms:created>
  <dcterms:modified xsi:type="dcterms:W3CDTF">2026-10-10T09:41:49.536Z</dcterms:modified>
</cp:coreProperties>
</file>

<file path=docProps/custom.xml><?xml version="1.0" encoding="utf-8"?>
<Properties xmlns="http://schemas.openxmlformats.org/officeDocument/2006/custom-properties" xmlns:vt="http://schemas.openxmlformats.org/officeDocument/2006/docPropsVTypes"/>
</file>