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VELOOP Rewards - Dashboard Wireframes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Work Package M | Companion to Deliverable 14 (Dashboard Blueprint) | Version 0.2 (revised 10 October 2026; first issued 28 September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i/>
                <w:iCs/>
                <w:color w:val="7A5B00"/>
                <w:sz w:val="20"/>
                <w:szCs w:val="20"/>
              </w:rPr>
              <w:t xml:space="preserve">These are low-fidelity wireframes - they show panel layout, chart type, and what each panel will contain, not final visual design. Every number placeholder (0000) is a stand-in; no dashboard shown here has been built or populated with real data. Full per-visual specifications (exact calculation, filters, dimensions, refresh frequency, and the business question each panel answers) are in the Analytics Design Workbook, sheet Dashboard_Blueprint - this document is the visual companion to that sheet, not a replacement for it.</w:t>
            </w:r>
          </w:p>
        </w:tc>
      </w:tr>
    </w:tbl>
    <w:p>
      <w:pPr>
        <w:pStyle w:val="Heading1"/>
        <w:spacing w:after="140" w:before="280"/>
      </w:pPr>
      <w:r>
        <w:t xml:space="preserve">How to read these wireframes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panel's small icon shows the intended chart type: a zig-zag line for trend charts, bars for comparisons, a ring for part-of-whole breakdowns, a funnel shape for multi-stage conversion, a grid for tables, an arc for a gauge-style KPI, and a large placeholder number for a single-metric KPI tile.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bold text under each icon is the metric or question the panel answers; the small grey text above it names the chart type and cross-references the KPI ID from the KPI Catalogue where one exists.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header bar on each wireframe lists the filters, date range, and refresh frequency that apply to every panel on that dashboard, matching the Dashboard_Blueprint sheet.</w:t>
      </w:r>
    </w:p>
    <w:p>
      <w:pPr>
        <w:pStyle w:val="Heading1"/>
        <w:spacing w:after="140" w:before="280"/>
      </w:pPr>
      <w:r>
        <w:t xml:space="preserve">Dashboard 1 - Executive Overview</w:t>
      </w:r>
    </w:p>
    <w:p>
      <w:pPr>
        <w:spacing w:after="120"/>
      </w:pPr>
      <w:r>
        <w:rPr>
          <w:sz w:val="22"/>
          <w:szCs w:val="22"/>
        </w:rPr>
        <w:t xml:space="preserve">High-level cross-functional view for leadership: registrations, active users, stickiness, task completion, reward and wallet activity, withdrawal and referral health, and a data-trust panel showing control metrics (duplicates, orphans, freshness) so viewers can judge whether the numbers above are currently trustworthy.</w:t>
      </w:r>
    </w:p>
    <w:p>
      <w:pPr>
        <w:spacing w:after="8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A93"/>
          <w:sz w:val="17"/>
          <w:szCs w:val="17"/>
        </w:rPr>
        <w:t xml:space="preserve">Figure 2 - Dashboard 1 - Executive Overview wireframe. Full specification for each panel is in the Dashboard_Blueprint sheet of the Analytics Design Workbook.</w:t>
      </w:r>
    </w:p>
    <w:p>
      <w:pPr>
        <w:pStyle w:val="Heading1"/>
        <w:spacing w:after="140" w:before="280"/>
      </w:pPr>
      <w:r>
        <w:t xml:space="preserve">Dashboard 2 - User Analytics</w:t>
      </w:r>
    </w:p>
    <w:p>
      <w:pPr>
        <w:spacing w:after="120"/>
      </w:pPr>
      <w:r>
        <w:rPr>
          <w:sz w:val="22"/>
          <w:szCs w:val="22"/>
        </w:rPr>
        <w:t xml:space="preserve">Registrations over time, acquisition source mix, device/platform split, verification and onboarding funnel, and active/returning/inactive segmentation.</w:t>
      </w:r>
    </w:p>
    <w:p>
      <w:pPr>
        <w:spacing w:after="8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A93"/>
          <w:sz w:val="17"/>
          <w:szCs w:val="17"/>
        </w:rPr>
        <w:t xml:space="preserve">Figure 3 - Dashboard 2 - User Analytics wireframe. Full specification for each panel is in the Dashboard_Blueprint sheet of the Analytics Design Workbook.</w:t>
      </w:r>
    </w:p>
    <w:p>
      <w:pPr>
        <w:pStyle w:val="Heading1"/>
        <w:spacing w:after="140" w:before="280"/>
      </w:pPr>
      <w:r>
        <w:t xml:space="preserve">Dashboard 3 - Engagement</w:t>
      </w:r>
    </w:p>
    <w:p>
      <w:pPr>
        <w:spacing w:after="120"/>
      </w:pPr>
      <w:r>
        <w:rPr>
          <w:sz w:val="22"/>
          <w:szCs w:val="22"/>
        </w:rPr>
        <w:t xml:space="preserve">Feature usage, task funnel (starts to completions), failure breakdown by category, repeat usage, and daily activity trend.</w:t>
      </w:r>
    </w:p>
    <w:p>
      <w:pPr>
        <w:spacing w:after="8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A93"/>
          <w:sz w:val="17"/>
          <w:szCs w:val="17"/>
        </w:rPr>
        <w:t xml:space="preserve">Figure 4 - Dashboard 3 - Engagement wireframe. Full specification for each panel is in the Dashboard_Blueprint sheet of the Analytics Design Workbook.</w:t>
      </w:r>
    </w:p>
    <w:p>
      <w:pPr>
        <w:pStyle w:val="Heading1"/>
        <w:spacing w:after="140" w:before="280"/>
      </w:pPr>
      <w:r>
        <w:t xml:space="preserve">Dashboard 4 - Rewards</w:t>
      </w:r>
    </w:p>
    <w:p>
      <w:pPr>
        <w:spacing w:after="120"/>
      </w:pPr>
      <w:r>
        <w:rPr>
          <w:sz w:val="22"/>
          <w:szCs w:val="22"/>
        </w:rPr>
        <w:t xml:space="preserve">Reward credits by feature and unit, reward status mix, reversal rate trend, and the activity-to-credit rate that flags when completed work is not being paid out.</w:t>
      </w:r>
    </w:p>
    <w:p>
      <w:pPr>
        <w:spacing w:after="8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A93"/>
          <w:sz w:val="17"/>
          <w:szCs w:val="17"/>
        </w:rPr>
        <w:t xml:space="preserve">Figure 5 - Dashboard 4 - Rewards wireframe. Full specification for each panel is in the Dashboard_Blueprint sheet of the Analytics Design Workbook.</w:t>
      </w:r>
    </w:p>
    <w:p>
      <w:pPr>
        <w:pStyle w:val="Heading1"/>
        <w:spacing w:after="140" w:before="280"/>
      </w:pPr>
      <w:r>
        <w:t xml:space="preserve">Dashboard 5 - Wallet</w:t>
      </w:r>
    </w:p>
    <w:p>
      <w:pPr>
        <w:spacing w:after="120"/>
      </w:pPr>
      <w:r>
        <w:rPr>
          <w:sz w:val="22"/>
          <w:szCs w:val="22"/>
        </w:rPr>
        <w:t xml:space="preserve">Transaction mix by type, credit and redemption volume by unit, reversal rate, and failed-transaction rate.</w:t>
      </w:r>
    </w:p>
    <w:p>
      <w:pPr>
        <w:spacing w:after="8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A93"/>
          <w:sz w:val="17"/>
          <w:szCs w:val="17"/>
        </w:rPr>
        <w:t xml:space="preserve">Figure 6 - Dashboard 5 - Wallet wireframe. Full specification for each panel is in the Dashboard_Blueprint sheet of the Analytics Design Workbook.</w:t>
      </w:r>
    </w:p>
    <w:p>
      <w:pPr>
        <w:pStyle w:val="Heading1"/>
        <w:spacing w:after="140" w:before="280"/>
      </w:pPr>
      <w:r>
        <w:t xml:space="preserve">Dashboard 6 - Withdrawals</w:t>
      </w:r>
    </w:p>
    <w:p>
      <w:pPr>
        <w:spacing w:after="120"/>
      </w:pPr>
      <w:r>
        <w:rPr>
          <w:sz w:val="22"/>
          <w:szCs w:val="22"/>
        </w:rPr>
        <w:t xml:space="preserve">Requests and status breakdown, processing time, pending queue size and age, method distribution, and volume.</w:t>
      </w:r>
    </w:p>
    <w:p>
      <w:pPr>
        <w:spacing w:after="8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A93"/>
          <w:sz w:val="17"/>
          <w:szCs w:val="17"/>
        </w:rPr>
        <w:t xml:space="preserve">Figure 7 - Dashboard 6 - Withdrawals wireframe. Full specification for each panel is in the Dashboard_Blueprint sheet of the Analytics Design Workbook.</w:t>
      </w:r>
    </w:p>
    <w:p>
      <w:pPr>
        <w:pStyle w:val="Heading1"/>
        <w:spacing w:after="140" w:before="280"/>
      </w:pPr>
      <w:r>
        <w:t xml:space="preserve">Dashboard 7 - Referrals</w:t>
      </w:r>
    </w:p>
    <w:p>
      <w:pPr>
        <w:spacing w:after="120"/>
      </w:pPr>
      <w:r>
        <w:rPr>
          <w:sz w:val="22"/>
          <w:szCs w:val="22"/>
        </w:rPr>
        <w:t xml:space="preserve">The full funnel from created through converted, plus creation and registration trends, activation rate, and time-to-activation.</w:t>
      </w:r>
    </w:p>
    <w:p>
      <w:pPr>
        <w:spacing w:after="80"/>
        <w:jc w:val="center"/>
      </w:pPr>
      <w:r>
        <w:drawing>
          <wp:inline distT="0" distB="0" distL="0" distR="0">
            <wp:extent cx="5905500" cy="483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A93"/>
          <w:sz w:val="17"/>
          <w:szCs w:val="17"/>
        </w:rPr>
        <w:t xml:space="preserve">Figure 8 - Dashboard 7 - Referrals wireframe. Full specification for each panel is in the Dashboard_Blueprint sheet of the Analytics Design Workbook.</w:t>
      </w:r>
    </w:p>
    <w:p>
      <w:pPr>
        <w:pStyle w:val="Heading1"/>
        <w:spacing w:after="140" w:before="280"/>
      </w:pPr>
      <w:r>
        <w:t xml:space="preserve">Notes on implementation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of these dashboards can be built against real data until the Critical-priority items in the Implementation Backlog are resolved (stable transaction ID, referrer link, agreed reward units, and the core event set).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data-trust panel on the Executive Overview dashboard is deliberately included as a first-class panel, not an afterthought - given the data quality issues found even in the simulated sample (see the Data Quality Audit), no dashboard should launch without a visible indicator of whether the underlying data can currently be trusted.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Layouts assume a standard widescreen desktop dashboard; a responsive/mobile layout was not designed, since the brief specifies this as a dashboard specification rather than a production build.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9fff593725682c7a4cbbf8b9fe42ec3738648b.png"/><Relationship Id="rId8" Type="http://schemas.openxmlformats.org/officeDocument/2006/relationships/image" Target="media/84b3873303a4e0878d9be861e22bbb2c0b6efc04.png"/><Relationship Id="rId9" Type="http://schemas.openxmlformats.org/officeDocument/2006/relationships/image" Target="media/919927ab795e2b195e80fa7eeca1f31f66a50622.png"/><Relationship Id="rId10" Type="http://schemas.openxmlformats.org/officeDocument/2006/relationships/image" Target="media/12127a99044816e486680ab3b2e65e225a0f885d.png"/><Relationship Id="rId11" Type="http://schemas.openxmlformats.org/officeDocument/2006/relationships/image" Target="media/66ee246e642fb4b4206beefde48617aab92e400d.png"/><Relationship Id="rId12" Type="http://schemas.openxmlformats.org/officeDocument/2006/relationships/image" Target="media/091a205634456d59cfb8f8e449dd85885a8e8fbe.png"/><Relationship Id="rId13" Type="http://schemas.openxmlformats.org/officeDocument/2006/relationships/image" Target="media/09c5aa62b33a7be55ce0685311cd56d1c0e0a71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2026-10-10T09:41:49.959Z</dcterms:created>
  <dcterms:modified xsi:type="dcterms:W3CDTF">2026-10-10T09:41:49.959Z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