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VELOOP Rewards - Earning &amp; Reward Analytics Specification</w:t>
      </w:r>
    </w:p>
    <w:p>
      <w:pPr>
        <w:spacing w:after="120"/>
      </w:pPr>
      <w:r>
        <w:rPr>
          <w:i/>
          <w:iCs/>
          <w:sz w:val="22"/>
          <w:szCs w:val="22"/>
        </w:rPr>
        <w:t xml:space="preserve">Work Package C | Version 0.2 (revised 10 October 2026; first issued 28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All events, fields and definitions below are PROPOSED unless stated otherwise. None are confirmed to exist in VELOOP's production systems.</w:t>
            </w:r>
          </w:p>
        </w:tc>
      </w:tr>
    </w:tbl>
    <w:p>
      <w:pPr>
        <w:pStyle w:val="Heading1"/>
        <w:spacing w:after="140" w:before="280"/>
      </w:pPr>
      <w:r>
        <w:t xml:space="preserve">1. The earning lifecycle</w:t>
      </w:r>
    </w:p>
    <w:p>
      <w:pPr>
        <w:spacing w:after="120"/>
      </w:pPr>
      <w:r>
        <w:rPr>
          <w:sz w:val="22"/>
          <w:szCs w:val="22"/>
        </w:rPr>
        <w:t xml:space="preserve">The brief asks that the basic analytical lifecycle be investigated: Discovery, Start, Completion, Validation, Reward. This specification defines how each stage should be measured, using the task system as the primary example, since most named earning mechanics (Watch Ads, Tap &amp; Earn, Mining, Surveys, Offers, Games) are variations of the same underlying pattern - a user does something, the platform validates it, and a reward may follow.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200"/>
      </w:tblGrid>
      <w:tr>
        <w:trPr>
          <w:tblHeader/>
        </w:trPr>
        <w:tc>
          <w:tcPr>
            <w:tcW w:type="dxa" w:w="2200"/>
            <w:shd w:fill="1F3864" w:val="clear"/>
            <w:tcMar>
              <w:top w:type="dxa" w:w="80"/>
              <w:left w:type="dxa" w:w="100"/>
              <w:bottom w:type="dxa" w:w="80"/>
              <w:right w:type="dxa" w:w="100"/>
            </w:tcMar>
            <w:vAlign w:val="center"/>
          </w:tcPr>
          <w:p>
            <w:r>
              <w:rPr>
                <w:b/>
                <w:bCs/>
                <w:color w:val="FFFFFF"/>
                <w:sz w:val="18"/>
                <w:szCs w:val="18"/>
              </w:rPr>
              <w:t xml:space="preserve">Stage</w:t>
            </w:r>
          </w:p>
        </w:tc>
        <w:tc>
          <w:tcPr>
            <w:tcW w:type="dxa" w:w="4800"/>
            <w:shd w:fill="1F3864" w:val="clear"/>
            <w:tcMar>
              <w:top w:type="dxa" w:w="80"/>
              <w:left w:type="dxa" w:w="100"/>
              <w:bottom w:type="dxa" w:w="80"/>
              <w:right w:type="dxa" w:w="100"/>
            </w:tcMar>
            <w:vAlign w:val="center"/>
          </w:tcPr>
          <w:p>
            <w:r>
              <w:rPr>
                <w:b/>
                <w:bCs/>
                <w:color w:val="FFFFFF"/>
                <w:sz w:val="18"/>
                <w:szCs w:val="18"/>
              </w:rPr>
              <w:t xml:space="preserve">What happens</w:t>
            </w:r>
          </w:p>
        </w:tc>
        <w:tc>
          <w:tcPr>
            <w:tcW w:type="dxa" w:w="3200"/>
            <w:shd w:fill="1F3864" w:val="clear"/>
            <w:tcMar>
              <w:top w:type="dxa" w:w="80"/>
              <w:left w:type="dxa" w:w="100"/>
              <w:bottom w:type="dxa" w:w="80"/>
              <w:right w:type="dxa" w:w="100"/>
            </w:tcMar>
            <w:vAlign w:val="center"/>
          </w:tcPr>
          <w:p>
            <w:r>
              <w:rPr>
                <w:b/>
                <w:bCs/>
                <w:color w:val="FFFFFF"/>
                <w:sz w:val="18"/>
                <w:szCs w:val="18"/>
              </w:rPr>
              <w:t xml:space="preserve">Proposed event</w:t>
            </w:r>
          </w:p>
        </w:tc>
      </w:tr>
      <w:tr>
        <w:tc>
          <w:tcPr>
            <w:tcW w:type="dxa" w:w="2200"/>
            <w:tcMar>
              <w:top w:type="dxa" w:w="80"/>
              <w:left w:type="dxa" w:w="100"/>
              <w:bottom w:type="dxa" w:w="80"/>
              <w:right w:type="dxa" w:w="100"/>
            </w:tcMar>
            <w:vAlign w:val="center"/>
          </w:tcPr>
          <w:p>
            <w:r>
              <w:rPr>
                <w:sz w:val="18"/>
                <w:szCs w:val="18"/>
              </w:rPr>
              <w:t xml:space="preserve">Discovery</w:t>
            </w:r>
          </w:p>
        </w:tc>
        <w:tc>
          <w:tcPr>
            <w:tcW w:type="dxa" w:w="4800"/>
            <w:tcMar>
              <w:top w:type="dxa" w:w="80"/>
              <w:left w:type="dxa" w:w="100"/>
              <w:bottom w:type="dxa" w:w="80"/>
              <w:right w:type="dxa" w:w="100"/>
            </w:tcMar>
            <w:vAlign w:val="center"/>
          </w:tcPr>
          <w:p>
            <w:r>
              <w:rPr>
                <w:sz w:val="18"/>
                <w:szCs w:val="18"/>
              </w:rPr>
              <w:t xml:space="preserve">User is shown a task or earning opportunity</w:t>
            </w:r>
          </w:p>
        </w:tc>
        <w:tc>
          <w:tcPr>
            <w:tcW w:type="dxa" w:w="3200"/>
            <w:tcMar>
              <w:top w:type="dxa" w:w="80"/>
              <w:left w:type="dxa" w:w="100"/>
              <w:bottom w:type="dxa" w:w="80"/>
              <w:right w:type="dxa" w:w="100"/>
            </w:tcMar>
            <w:vAlign w:val="center"/>
          </w:tcPr>
          <w:p>
            <w:r>
              <w:rPr>
                <w:sz w:val="18"/>
                <w:szCs w:val="18"/>
              </w:rPr>
              <w:t xml:space="preserve">task_viewed</w:t>
            </w:r>
          </w:p>
        </w:tc>
      </w:tr>
      <w:tr>
        <w:tc>
          <w:tcPr>
            <w:tcW w:type="dxa" w:w="2200"/>
            <w:shd w:fill="F2F2F2" w:val="clear"/>
            <w:tcMar>
              <w:top w:type="dxa" w:w="80"/>
              <w:left w:type="dxa" w:w="100"/>
              <w:bottom w:type="dxa" w:w="80"/>
              <w:right w:type="dxa" w:w="100"/>
            </w:tcMar>
            <w:vAlign w:val="center"/>
          </w:tcPr>
          <w:p>
            <w:r>
              <w:rPr>
                <w:sz w:val="18"/>
                <w:szCs w:val="18"/>
              </w:rPr>
              <w:t xml:space="preserve">Interest</w:t>
            </w:r>
          </w:p>
        </w:tc>
        <w:tc>
          <w:tcPr>
            <w:tcW w:type="dxa" w:w="4800"/>
            <w:shd w:fill="F2F2F2" w:val="clear"/>
            <w:tcMar>
              <w:top w:type="dxa" w:w="80"/>
              <w:left w:type="dxa" w:w="100"/>
              <w:bottom w:type="dxa" w:w="80"/>
              <w:right w:type="dxa" w:w="100"/>
            </w:tcMar>
            <w:vAlign w:val="center"/>
          </w:tcPr>
          <w:p>
            <w:r>
              <w:rPr>
                <w:sz w:val="18"/>
                <w:szCs w:val="18"/>
              </w:rPr>
              <w:t xml:space="preserve">User opens the task for detail</w:t>
            </w:r>
          </w:p>
        </w:tc>
        <w:tc>
          <w:tcPr>
            <w:tcW w:type="dxa" w:w="3200"/>
            <w:shd w:fill="F2F2F2" w:val="clear"/>
            <w:tcMar>
              <w:top w:type="dxa" w:w="80"/>
              <w:left w:type="dxa" w:w="100"/>
              <w:bottom w:type="dxa" w:w="80"/>
              <w:right w:type="dxa" w:w="100"/>
            </w:tcMar>
            <w:vAlign w:val="center"/>
          </w:tcPr>
          <w:p>
            <w:r>
              <w:rPr>
                <w:sz w:val="18"/>
                <w:szCs w:val="18"/>
              </w:rPr>
              <w:t xml:space="preserve">task_opened</w:t>
            </w:r>
          </w:p>
        </w:tc>
      </w:tr>
      <w:tr>
        <w:tc>
          <w:tcPr>
            <w:tcW w:type="dxa" w:w="2200"/>
            <w:tcMar>
              <w:top w:type="dxa" w:w="80"/>
              <w:left w:type="dxa" w:w="100"/>
              <w:bottom w:type="dxa" w:w="80"/>
              <w:right w:type="dxa" w:w="100"/>
            </w:tcMar>
            <w:vAlign w:val="center"/>
          </w:tcPr>
          <w:p>
            <w:r>
              <w:rPr>
                <w:sz w:val="18"/>
                <w:szCs w:val="18"/>
              </w:rPr>
              <w:t xml:space="preserve">Start</w:t>
            </w:r>
          </w:p>
        </w:tc>
        <w:tc>
          <w:tcPr>
            <w:tcW w:type="dxa" w:w="4800"/>
            <w:tcMar>
              <w:top w:type="dxa" w:w="80"/>
              <w:left w:type="dxa" w:w="100"/>
              <w:bottom w:type="dxa" w:w="80"/>
              <w:right w:type="dxa" w:w="100"/>
            </w:tcMar>
            <w:vAlign w:val="center"/>
          </w:tcPr>
          <w:p>
            <w:r>
              <w:rPr>
                <w:sz w:val="18"/>
                <w:szCs w:val="18"/>
              </w:rPr>
              <w:t xml:space="preserve">User begins the task; a task_activity record is created</w:t>
            </w:r>
          </w:p>
        </w:tc>
        <w:tc>
          <w:tcPr>
            <w:tcW w:type="dxa" w:w="3200"/>
            <w:tcMar>
              <w:top w:type="dxa" w:w="80"/>
              <w:left w:type="dxa" w:w="100"/>
              <w:bottom w:type="dxa" w:w="80"/>
              <w:right w:type="dxa" w:w="100"/>
            </w:tcMar>
            <w:vAlign w:val="center"/>
          </w:tcPr>
          <w:p>
            <w:r>
              <w:rPr>
                <w:sz w:val="18"/>
                <w:szCs w:val="18"/>
              </w:rPr>
              <w:t xml:space="preserve">task_started</w:t>
            </w:r>
          </w:p>
        </w:tc>
      </w:tr>
      <w:tr>
        <w:tc>
          <w:tcPr>
            <w:tcW w:type="dxa" w:w="2200"/>
            <w:shd w:fill="F2F2F2" w:val="clear"/>
            <w:tcMar>
              <w:top w:type="dxa" w:w="80"/>
              <w:left w:type="dxa" w:w="100"/>
              <w:bottom w:type="dxa" w:w="80"/>
              <w:right w:type="dxa" w:w="100"/>
            </w:tcMar>
            <w:vAlign w:val="center"/>
          </w:tcPr>
          <w:p>
            <w:r>
              <w:rPr>
                <w:sz w:val="18"/>
                <w:szCs w:val="18"/>
              </w:rPr>
              <w:t xml:space="preserve">Submission</w:t>
            </w:r>
          </w:p>
        </w:tc>
        <w:tc>
          <w:tcPr>
            <w:tcW w:type="dxa" w:w="4800"/>
            <w:shd w:fill="F2F2F2" w:val="clear"/>
            <w:tcMar>
              <w:top w:type="dxa" w:w="80"/>
              <w:left w:type="dxa" w:w="100"/>
              <w:bottom w:type="dxa" w:w="80"/>
              <w:right w:type="dxa" w:w="100"/>
            </w:tcMar>
            <w:vAlign w:val="center"/>
          </w:tcPr>
          <w:p>
            <w:r>
              <w:rPr>
                <w:sz w:val="18"/>
                <w:szCs w:val="18"/>
              </w:rPr>
              <w:t xml:space="preserve">User or an external provider signals the action is done</w:t>
            </w:r>
          </w:p>
        </w:tc>
        <w:tc>
          <w:tcPr>
            <w:tcW w:type="dxa" w:w="3200"/>
            <w:shd w:fill="F2F2F2" w:val="clear"/>
            <w:tcMar>
              <w:top w:type="dxa" w:w="80"/>
              <w:left w:type="dxa" w:w="100"/>
              <w:bottom w:type="dxa" w:w="80"/>
              <w:right w:type="dxa" w:w="100"/>
            </w:tcMar>
            <w:vAlign w:val="center"/>
          </w:tcPr>
          <w:p>
            <w:r>
              <w:rPr>
                <w:sz w:val="18"/>
                <w:szCs w:val="18"/>
              </w:rPr>
              <w:t xml:space="preserve">task_submitted</w:t>
            </w:r>
          </w:p>
        </w:tc>
      </w:tr>
      <w:tr>
        <w:tc>
          <w:tcPr>
            <w:tcW w:type="dxa" w:w="2200"/>
            <w:tcMar>
              <w:top w:type="dxa" w:w="80"/>
              <w:left w:type="dxa" w:w="100"/>
              <w:bottom w:type="dxa" w:w="80"/>
              <w:right w:type="dxa" w:w="100"/>
            </w:tcMar>
            <w:vAlign w:val="center"/>
          </w:tcPr>
          <w:p>
            <w:r>
              <w:rPr>
                <w:sz w:val="18"/>
                <w:szCs w:val="18"/>
              </w:rPr>
              <w:t xml:space="preserve">Validation</w:t>
            </w:r>
          </w:p>
        </w:tc>
        <w:tc>
          <w:tcPr>
            <w:tcW w:type="dxa" w:w="4800"/>
            <w:tcMar>
              <w:top w:type="dxa" w:w="80"/>
              <w:left w:type="dxa" w:w="100"/>
              <w:bottom w:type="dxa" w:w="80"/>
              <w:right w:type="dxa" w:w="100"/>
            </w:tcMar>
            <w:vAlign w:val="center"/>
          </w:tcPr>
          <w:p>
            <w:r>
              <w:rPr>
                <w:sz w:val="18"/>
                <w:szCs w:val="18"/>
              </w:rPr>
              <w:t xml:space="preserve">The claim is checked against the applicable rules</w:t>
            </w:r>
          </w:p>
        </w:tc>
        <w:tc>
          <w:tcPr>
            <w:tcW w:type="dxa" w:w="3200"/>
            <w:tcMar>
              <w:top w:type="dxa" w:w="80"/>
              <w:left w:type="dxa" w:w="100"/>
              <w:bottom w:type="dxa" w:w="80"/>
              <w:right w:type="dxa" w:w="100"/>
            </w:tcMar>
            <w:vAlign w:val="center"/>
          </w:tcPr>
          <w:p>
            <w:r>
              <w:rPr>
                <w:sz w:val="18"/>
                <w:szCs w:val="18"/>
              </w:rPr>
              <w:t xml:space="preserve">(validation_status property on task_completed / task_failed)</w:t>
            </w:r>
          </w:p>
        </w:tc>
      </w:tr>
      <w:tr>
        <w:tc>
          <w:tcPr>
            <w:tcW w:type="dxa" w:w="2200"/>
            <w:shd w:fill="F2F2F2" w:val="clear"/>
            <w:tcMar>
              <w:top w:type="dxa" w:w="80"/>
              <w:left w:type="dxa" w:w="100"/>
              <w:bottom w:type="dxa" w:w="80"/>
              <w:right w:type="dxa" w:w="100"/>
            </w:tcMar>
            <w:vAlign w:val="center"/>
          </w:tcPr>
          <w:p>
            <w:r>
              <w:rPr>
                <w:sz w:val="18"/>
                <w:szCs w:val="18"/>
              </w:rPr>
              <w:t xml:space="preserve">Completion</w:t>
            </w:r>
          </w:p>
        </w:tc>
        <w:tc>
          <w:tcPr>
            <w:tcW w:type="dxa" w:w="4800"/>
            <w:shd w:fill="F2F2F2" w:val="clear"/>
            <w:tcMar>
              <w:top w:type="dxa" w:w="80"/>
              <w:left w:type="dxa" w:w="100"/>
              <w:bottom w:type="dxa" w:w="80"/>
              <w:right w:type="dxa" w:w="100"/>
            </w:tcMar>
            <w:vAlign w:val="center"/>
          </w:tcPr>
          <w:p>
            <w:r>
              <w:rPr>
                <w:sz w:val="18"/>
                <w:szCs w:val="18"/>
              </w:rPr>
              <w:t xml:space="preserve">Validation passes; the attempt is marked complete</w:t>
            </w:r>
          </w:p>
        </w:tc>
        <w:tc>
          <w:tcPr>
            <w:tcW w:type="dxa" w:w="3200"/>
            <w:shd w:fill="F2F2F2" w:val="clear"/>
            <w:tcMar>
              <w:top w:type="dxa" w:w="80"/>
              <w:left w:type="dxa" w:w="100"/>
              <w:bottom w:type="dxa" w:w="80"/>
              <w:right w:type="dxa" w:w="100"/>
            </w:tcMar>
            <w:vAlign w:val="center"/>
          </w:tcPr>
          <w:p>
            <w:r>
              <w:rPr>
                <w:sz w:val="18"/>
                <w:szCs w:val="18"/>
              </w:rPr>
              <w:t xml:space="preserve">task_completed</w:t>
            </w:r>
          </w:p>
        </w:tc>
      </w:tr>
      <w:tr>
        <w:tc>
          <w:tcPr>
            <w:tcW w:type="dxa" w:w="2200"/>
            <w:tcMar>
              <w:top w:type="dxa" w:w="80"/>
              <w:left w:type="dxa" w:w="100"/>
              <w:bottom w:type="dxa" w:w="80"/>
              <w:right w:type="dxa" w:w="100"/>
            </w:tcMar>
            <w:vAlign w:val="center"/>
          </w:tcPr>
          <w:p>
            <w:r>
              <w:rPr>
                <w:sz w:val="18"/>
                <w:szCs w:val="18"/>
              </w:rPr>
              <w:t xml:space="preserve">Reward</w:t>
            </w:r>
          </w:p>
        </w:tc>
        <w:tc>
          <w:tcPr>
            <w:tcW w:type="dxa" w:w="4800"/>
            <w:tcMar>
              <w:top w:type="dxa" w:w="80"/>
              <w:left w:type="dxa" w:w="100"/>
              <w:bottom w:type="dxa" w:w="80"/>
              <w:right w:type="dxa" w:w="100"/>
            </w:tcMar>
            <w:vAlign w:val="center"/>
          </w:tcPr>
          <w:p>
            <w:r>
              <w:rPr>
                <w:sz w:val="18"/>
                <w:szCs w:val="18"/>
              </w:rPr>
              <w:t xml:space="preserve">A reward is actually credited to the user's balance</w:t>
            </w:r>
          </w:p>
        </w:tc>
        <w:tc>
          <w:tcPr>
            <w:tcW w:type="dxa" w:w="3200"/>
            <w:tcMar>
              <w:top w:type="dxa" w:w="80"/>
              <w:left w:type="dxa" w:w="100"/>
              <w:bottom w:type="dxa" w:w="80"/>
              <w:right w:type="dxa" w:w="100"/>
            </w:tcMar>
            <w:vAlign w:val="center"/>
          </w:tcPr>
          <w:p>
            <w:r>
              <w:rPr>
                <w:sz w:val="18"/>
                <w:szCs w:val="18"/>
              </w:rPr>
              <w:t xml:space="preserve">reward_credited</w:t>
            </w:r>
          </w:p>
        </w:tc>
      </w:tr>
    </w:tbl>
    <w:p>
      <w:pPr>
        <w:spacing w:after="120"/>
      </w:pPr>
      <w:r>
        <w:rPr>
          <w:sz w:val="22"/>
          <w:szCs w:val="22"/>
        </w:rPr>
        <w:t xml:space="preserve">The critical design point is stage separation: 'the user did the activity' (task_completed) and 'the user was paid for it' (reward_credited) must be two separate, separately-timestamped facts, linked by task_activity_id and reward_id. Collapsing them into one event would make it impossible to detect cases where activity occurred but crediting failed - which is exactly the kind of gap Analytics Gap G05 and KPI R06 (Activity-to-Credit Rate) are designed to catch.</w:t>
      </w:r>
    </w:p>
    <w:p>
      <w:pPr>
        <w:pStyle w:val="Heading1"/>
        <w:spacing w:after="140" w:before="280"/>
      </w:pPr>
      <w:r>
        <w:t xml:space="preserve">2. Task-level analytics (C1)</w:t>
      </w:r>
    </w:p>
    <w:p>
      <w:pPr>
        <w:spacing w:after="120"/>
      </w:pPr>
      <w:r>
        <w:rPr>
          <w:sz w:val="22"/>
          <w:szCs w:val="22"/>
        </w:rPr>
        <w:t xml:space="preserve">Each task attempt should carry: task_activity_id, task_id, task_type, feature, user_id, start time, completion time, status, reward_amount, reward_unit, validation_status, and source information (provider_type, external_reference_id where relevant). Full field-level detail - type, validation rule, source, sensitivity - is in the Data Dictionary under the Task_Activity entity.</w:t>
      </w:r>
    </w:p>
    <w:p>
      <w:pPr>
        <w:pStyle w:val="Heading1"/>
        <w:spacing w:after="140" w:before="280"/>
      </w:pPr>
      <w:r>
        <w:t xml:space="preserve">3. Failed activity (C2)</w:t>
      </w:r>
    </w:p>
    <w:p>
      <w:pPr>
        <w:spacing w:after="120"/>
      </w:pPr>
      <w:r>
        <w:rPr>
          <w:sz w:val="22"/>
          <w:szCs w:val="22"/>
        </w:rPr>
        <w:t xml:space="preserve">The brief requires a structured way to represent failed activity - task failed, tracking failed, validation failed, user abandoned, system error - without inventing internal failure codes that may not exist. This specification proposes a two-part classification, both marked Proposed and pending Engineering confirmation: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6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Property</w:t>
            </w:r>
          </w:p>
        </w:tc>
        <w:tc>
          <w:tcPr>
            <w:tcW w:type="dxa" w:w="5000"/>
            <w:shd w:fill="1F3864" w:val="clear"/>
            <w:tcMar>
              <w:top w:type="dxa" w:w="80"/>
              <w:left w:type="dxa" w:w="100"/>
              <w:bottom w:type="dxa" w:w="80"/>
              <w:right w:type="dxa" w:w="100"/>
            </w:tcMar>
            <w:vAlign w:val="center"/>
          </w:tcPr>
          <w:p>
            <w:r>
              <w:rPr>
                <w:b/>
                <w:bCs/>
                <w:color w:val="FFFFFF"/>
                <w:sz w:val="18"/>
                <w:szCs w:val="18"/>
              </w:rPr>
              <w:t xml:space="preserve">Proposed values</w:t>
            </w:r>
          </w:p>
        </w:tc>
        <w:tc>
          <w:tcPr>
            <w:tcW w:type="dxa" w:w="2600"/>
            <w:shd w:fill="1F3864" w:val="clear"/>
            <w:tcMar>
              <w:top w:type="dxa" w:w="80"/>
              <w:left w:type="dxa" w:w="100"/>
              <w:bottom w:type="dxa" w:w="80"/>
              <w:right w:type="dxa" w:w="100"/>
            </w:tcMar>
            <w:vAlign w:val="center"/>
          </w:tcPr>
          <w:p>
            <w:r>
              <w:rPr>
                <w:b/>
                <w:bCs/>
                <w:color w:val="FFFFFF"/>
                <w:sz w:val="18"/>
                <w:szCs w:val="18"/>
              </w:rPr>
              <w:t xml:space="preserve">Purpose</w:t>
            </w:r>
          </w:p>
        </w:tc>
      </w:tr>
      <w:tr>
        <w:tc>
          <w:tcPr>
            <w:tcW w:type="dxa" w:w="2600"/>
            <w:tcMar>
              <w:top w:type="dxa" w:w="80"/>
              <w:left w:type="dxa" w:w="100"/>
              <w:bottom w:type="dxa" w:w="80"/>
              <w:right w:type="dxa" w:w="100"/>
            </w:tcMar>
            <w:vAlign w:val="center"/>
          </w:tcPr>
          <w:p>
            <w:r>
              <w:rPr>
                <w:sz w:val="18"/>
                <w:szCs w:val="18"/>
              </w:rPr>
              <w:t xml:space="preserve">failure_stage</w:t>
            </w:r>
          </w:p>
        </w:tc>
        <w:tc>
          <w:tcPr>
            <w:tcW w:type="dxa" w:w="5000"/>
            <w:tcMar>
              <w:top w:type="dxa" w:w="80"/>
              <w:left w:type="dxa" w:w="100"/>
              <w:bottom w:type="dxa" w:w="80"/>
              <w:right w:type="dxa" w:w="100"/>
            </w:tcMar>
            <w:vAlign w:val="center"/>
          </w:tcPr>
          <w:p>
            <w:r>
              <w:rPr>
                <w:sz w:val="18"/>
                <w:szCs w:val="18"/>
              </w:rPr>
              <w:t xml:space="preserve">discovery, start, completion, validation, reward, unknown</w:t>
            </w:r>
          </w:p>
        </w:tc>
        <w:tc>
          <w:tcPr>
            <w:tcW w:type="dxa" w:w="2600"/>
            <w:tcMar>
              <w:top w:type="dxa" w:w="80"/>
              <w:left w:type="dxa" w:w="100"/>
              <w:bottom w:type="dxa" w:w="80"/>
              <w:right w:type="dxa" w:w="100"/>
            </w:tcMar>
            <w:vAlign w:val="center"/>
          </w:tcPr>
          <w:p>
            <w:r>
              <w:rPr>
                <w:sz w:val="18"/>
                <w:szCs w:val="18"/>
              </w:rPr>
              <w:t xml:space="preserve">Where in the lifecycle the attempt stopped</w:t>
            </w:r>
          </w:p>
        </w:tc>
      </w:tr>
      <w:tr>
        <w:tc>
          <w:tcPr>
            <w:tcW w:type="dxa" w:w="2600"/>
            <w:shd w:fill="F2F2F2" w:val="clear"/>
            <w:tcMar>
              <w:top w:type="dxa" w:w="80"/>
              <w:left w:type="dxa" w:w="100"/>
              <w:bottom w:type="dxa" w:w="80"/>
              <w:right w:type="dxa" w:w="100"/>
            </w:tcMar>
            <w:vAlign w:val="center"/>
          </w:tcPr>
          <w:p>
            <w:r>
              <w:rPr>
                <w:sz w:val="18"/>
                <w:szCs w:val="18"/>
              </w:rPr>
              <w:t xml:space="preserve">failure_category</w:t>
            </w:r>
          </w:p>
        </w:tc>
        <w:tc>
          <w:tcPr>
            <w:tcW w:type="dxa" w:w="5000"/>
            <w:shd w:fill="F2F2F2" w:val="clear"/>
            <w:tcMar>
              <w:top w:type="dxa" w:w="80"/>
              <w:left w:type="dxa" w:w="100"/>
              <w:bottom w:type="dxa" w:w="80"/>
              <w:right w:type="dxa" w:w="100"/>
            </w:tcMar>
            <w:vAlign w:val="center"/>
          </w:tcPr>
          <w:p>
            <w:r>
              <w:rPr>
                <w:sz w:val="18"/>
                <w:szCs w:val="18"/>
              </w:rPr>
              <w:t xml:space="preserve">user_abandoned, tracking_failed, validation_failed, provider_error, timeout, system_error, unknown</w:t>
            </w:r>
          </w:p>
        </w:tc>
        <w:tc>
          <w:tcPr>
            <w:tcW w:type="dxa" w:w="2600"/>
            <w:shd w:fill="F2F2F2" w:val="clear"/>
            <w:tcMar>
              <w:top w:type="dxa" w:w="80"/>
              <w:left w:type="dxa" w:w="100"/>
              <w:bottom w:type="dxa" w:w="80"/>
              <w:right w:type="dxa" w:w="100"/>
            </w:tcMar>
            <w:vAlign w:val="center"/>
          </w:tcPr>
          <w:p>
            <w:r>
              <w:rPr>
                <w:sz w:val="18"/>
                <w:szCs w:val="18"/>
              </w:rPr>
              <w:t xml:space="preserve">Why it stopped</w:t>
            </w:r>
          </w:p>
        </w:tc>
      </w:tr>
    </w:tbl>
    <w:p>
      <w:pPr>
        <w:spacing w:after="120"/>
      </w:pPr>
      <w:r>
        <w:rPr>
          <w:sz w:val="22"/>
          <w:szCs w:val="22"/>
        </w:rPr>
        <w:t xml:space="preserve">This gives Product and Engineering a starting vocabulary to review and correct, rather than the analyst guessing at VELOOP's actual internal error codes, which the brief explicitly prohibits.</w:t>
      </w:r>
    </w:p>
    <w:p>
      <w:pPr>
        <w:pStyle w:val="Heading1"/>
        <w:spacing w:after="140" w:before="280"/>
      </w:pPr>
      <w:r>
        <w:t xml:space="preserve">4. Reward events (C3)</w:t>
      </w:r>
    </w:p>
    <w:p>
      <w:pPr>
        <w:spacing w:after="120"/>
      </w:pPr>
      <w:r>
        <w:rPr>
          <w:sz w:val="22"/>
          <w:szCs w:val="22"/>
        </w:rPr>
        <w:t xml:space="preserve">Four reward states are proposed, each a distinct event so that the reward lifecycle is auditable end to end:</w:t>
      </w:r>
    </w:p>
    <w:p>
      <w:pPr>
        <w:pStyle w:val="ListParagraph"/>
        <w:numPr>
          <w:ilvl w:val="0"/>
          <w:numId w:val="1"/>
        </w:numPr>
        <w:spacing w:after="60"/>
      </w:pPr>
      <w:r>
        <w:t xml:space="preserve">reward_credited - the reward has actually been added to the user's balance and a matching wallet transaction exists.</w:t>
      </w:r>
    </w:p>
    <w:p>
      <w:pPr>
        <w:pStyle w:val="ListParagraph"/>
        <w:numPr>
          <w:ilvl w:val="0"/>
          <w:numId w:val="1"/>
        </w:numPr>
        <w:spacing w:after="60"/>
      </w:pPr>
      <w:r>
        <w:t xml:space="preserve">reward_pending - a reward exists but is held pending validation (with a pending_reason_category).</w:t>
      </w:r>
    </w:p>
    <w:p>
      <w:pPr>
        <w:pStyle w:val="ListParagraph"/>
        <w:numPr>
          <w:ilvl w:val="0"/>
          <w:numId w:val="1"/>
        </w:numPr>
        <w:spacing w:after="60"/>
      </w:pPr>
      <w:r>
        <w:t xml:space="preserve">reward_reversed - a previously credited reward has been taken back, with a reversal_reason_category.</w:t>
      </w:r>
    </w:p>
    <w:p>
      <w:pPr>
        <w:pStyle w:val="ListParagraph"/>
        <w:numPr>
          <w:ilvl w:val="0"/>
          <w:numId w:val="1"/>
        </w:numPr>
        <w:spacing w:after="60"/>
      </w:pPr>
      <w:r>
        <w:t xml:space="preserve">reward_corrected - the amount or unit of a reward has been corrected after the fact.</w:t>
      </w:r>
    </w:p>
    <w:p>
      <w:pPr>
        <w:spacing w:after="120"/>
      </w:pPr>
      <w:r>
        <w:rPr>
          <w:sz w:val="22"/>
          <w:szCs w:val="22"/>
        </w:rPr>
        <w:t xml:space="preserve">The distinction the brief asks for - activity occurred versus reward was actually credited - is enforced structurally: reward_credited is a separate event from task_completed, linked by task_activity_id, and KPI R06 (Activity-to-Credit Rate) exists specifically to monitor whether the two stay in sync.</w:t>
      </w:r>
    </w:p>
    <w:p>
      <w:pPr>
        <w:pStyle w:val="Heading1"/>
        <w:spacing w:after="140" w:before="280"/>
      </w:pPr>
      <w:r>
        <w:t xml:space="preserve">5. Third-party dependency (C4)</w:t>
      </w:r>
    </w:p>
    <w:p>
      <w:pPr>
        <w:spacing w:after="120"/>
      </w:pPr>
      <w:r>
        <w:rPr>
          <w:sz w:val="22"/>
          <w:szCs w:val="22"/>
        </w:rPr>
        <w:t xml:space="preserve">Watch Ads, Surveys, Offers and Games all depend on an external provider (ad network, survey provider, offer provider, game provider) to confirm an outcome. This specification treats every such task with a provider_type property and, where the provider sends a callback, a dedicated external_callback_received event carrying external_reference_id and provider_status. This keeps VELOOP's own validation logic separate from the provider's reported outcome, so that provider failures can be measured separately from VELOOP platform failures (see Analytics Gap G08) rather than being blended into a single, uninterpretable failure rate.</w:t>
      </w:r>
    </w:p>
    <w:p>
      <w:pPr>
        <w:pStyle w:val="Heading1"/>
        <w:spacing w:after="140" w:before="280"/>
      </w:pPr>
      <w:r>
        <w:t xml:space="preserve">6. Reward unit caution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VEs, XP, Gems, Tokens and Spins are treated in this specification as distinct, non-interchangeable units (Assumption A004). No KPI in the catalogue sums reward_amount across different reward_unit values. Conversion rules, if any exist, must be confirmed with Product before any 'total reward value' metric is built.</w:t>
            </w:r>
          </w:p>
        </w:tc>
      </w:tr>
    </w:tbl>
    <w:p>
      <w:pPr>
        <w:pStyle w:val="Heading1"/>
        <w:spacing w:after="140" w:before="280"/>
      </w:pPr>
      <w:r>
        <w:t xml:space="preserve">7. Related deliverables</w:t>
      </w:r>
    </w:p>
    <w:p>
      <w:pPr>
        <w:pStyle w:val="ListParagraph"/>
        <w:numPr>
          <w:ilvl w:val="0"/>
          <w:numId w:val="1"/>
        </w:numPr>
        <w:spacing w:after="60"/>
      </w:pPr>
      <w:r>
        <w:t xml:space="preserve">Event definitions: Event Tracking Plan, Rewards group and Tasks group (task_viewed through reward_corrected)</w:t>
      </w:r>
    </w:p>
    <w:p>
      <w:pPr>
        <w:pStyle w:val="ListParagraph"/>
        <w:numPr>
          <w:ilvl w:val="0"/>
          <w:numId w:val="1"/>
        </w:numPr>
        <w:spacing w:after="60"/>
      </w:pPr>
      <w:r>
        <w:t xml:space="preserve">Field definitions: Data Dictionary, Tasks / Task_Activity / Rewards entities</w:t>
      </w:r>
    </w:p>
    <w:p>
      <w:pPr>
        <w:pStyle w:val="ListParagraph"/>
        <w:numPr>
          <w:ilvl w:val="0"/>
          <w:numId w:val="1"/>
        </w:numPr>
        <w:spacing w:after="60"/>
      </w:pPr>
      <w:r>
        <w:t xml:space="preserve">KPIs: KPI Catalogue, E01-E10 (engagement/task) and R01-R06 (reward)</w:t>
      </w:r>
    </w:p>
    <w:p>
      <w:pPr>
        <w:pStyle w:val="ListParagraph"/>
        <w:numPr>
          <w:ilvl w:val="0"/>
          <w:numId w:val="1"/>
        </w:numPr>
        <w:spacing w:after="60"/>
      </w:pPr>
      <w:r>
        <w:t xml:space="preserve">Open questions: Assumption Register A001, A003, A004, A012, A015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2026-10-10T09:41:48.743Z</dcterms:created>
  <dcterms:modified xsi:type="dcterms:W3CDTF">2026-10-10T09:41:48.743Z</dcterms:modified>
</cp:coreProperties>
</file>

<file path=docProps/custom.xml><?xml version="1.0" encoding="utf-8"?>
<Properties xmlns="http://schemas.openxmlformats.org/officeDocument/2006/custom-properties" xmlns:vt="http://schemas.openxmlformats.org/officeDocument/2006/docPropsVTypes"/>
</file>